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 w:cs="Times New Roman"/>
          <w:spacing w:val="-12"/>
          <w:kern w:val="2"/>
          <w:sz w:val="40"/>
          <w:szCs w:val="40"/>
          <w:lang w:val="en-US" w:eastAsia="zh-CN" w:bidi="ar-SA"/>
        </w:rPr>
      </w:pP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0"/>
          <w:sz w:val="40"/>
          <w:szCs w:val="40"/>
          <w:lang w:val="en-US" w:eastAsia="zh-CN" w:bidi="ar-SA"/>
        </w:rPr>
        <w:t>沈阳市星级商务楼宇认定办法试行（草案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0"/>
          <w:sz w:val="40"/>
          <w:szCs w:val="40"/>
          <w:lang w:val="en-US" w:eastAsia="zh-CN" w:bidi="ar-SA"/>
        </w:rPr>
        <w:t>）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 w:cs="Times New Roman"/>
          <w:spacing w:val="-12"/>
          <w:kern w:val="2"/>
          <w:sz w:val="40"/>
          <w:szCs w:val="40"/>
          <w:lang w:val="en-US" w:eastAsia="zh-CN" w:bidi="ar-SA"/>
        </w:rPr>
      </w:pP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为进一步提升楼宇经济发展水平，促进楼宇经济提质增效，助推城市经济发展水平再上新台阶，特制定本办法。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一、工作目标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以加快建设国家中心城市为导向，紧紧围绕商务楼宇产出高效化、产业特色化、管理精细化发展目标，进一步整合重点楼宇、特色楼宇和品质楼宇功能，力争三年内培育打造超级星、六星、五星级商务楼宇100栋以上，充分激发商务楼宇经济活力，全面提升楼宇经济发展质量和效益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二、申请条件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（一）在沈阳市行政区域内建成运营的商务楼宇，即为商务办公活动提供空间、设施及配套服务的建筑（来源：GB/T 39066-2020，2.1），不包含宾馆酒店、商场超市、特色商业街区、公寓、企业（集团）自用楼宇、行政及事业单位自用房。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（二）申请超级星商务楼宇的，其商务办公面积不低于30000平方米；申请六星商务楼宇的，其商务办公面积不低于10000平方米；申请五星商务楼宇的，其商务办公面积不低于5000平方米；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（三）商务楼宇完成竣工验收并已正式投入运营满1年及以上。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以上条件须同时具备。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三、认定标准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沈阳市星级商务楼宇分为超级星、六星、五星三个层级。参评商务楼宇按照《沈阳市星级商务楼宇评分细则》（详见附件1）计算得分，分数越高表示楼宇综合实力越强、管理服务水平越高、硬件设施越完善。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星级商务楼宇划分标准</w:t>
      </w:r>
    </w:p>
    <w:tbl>
      <w:tblPr>
        <w:tblStyle w:val="5"/>
        <w:tblpPr w:leftFromText="180" w:rightFromText="180" w:vertAnchor="text" w:horzAnchor="margin" w:tblpY="68"/>
        <w:tblOverlap w:val="never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7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-SA"/>
              </w:rPr>
              <w:t>等级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-SA"/>
              </w:rPr>
              <w:t>总分要求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超级星楼宇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90分（含）以上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六星楼宇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80分（含）-90分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五星楼宇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70分（含）-80分</w:t>
            </w:r>
          </w:p>
        </w:tc>
      </w:tr>
    </w:tbl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其中，获评商务楼宇经主管部门证明有以下情形的，实行一票否决制：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（一）以虚假资料申请认定资格的，一经发现，三年内不得参评；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（二）在“信用中国”网站被列入失信被执行人、重大违法失信主体的，不得参评。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highlight w:val="none"/>
          <w:lang w:val="en-US" w:eastAsia="zh-CN" w:bidi="ar-SA"/>
        </w:rPr>
        <w:t>四、认定程序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（一）自主申请。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由申请主体自主向属地楼宇主管部门进行申请。申请主体须为商务楼宇业主（即楼宇物业的所有权人）或业主代表，或经其授权的运营管理机构。（注：本认定以栋为单位，参评商务楼宇若为多栋楼宇综合体，如分南北塔、AB 座等，可分别作为申请主体参评。）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申请时需提交以下材料：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1.沈阳市星级商务楼宇申请表（详见附件2）；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2.申请主体符合本认定办法所规定的申请条件的说明，加盖申请主体公章；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3.《沈阳市星级商务楼宇评分说明》（详见附件3）中要求提供的各项材料；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 xml:space="preserve">4.各相关主管部门要求的其他印证材料。 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（二）属地初审。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属地楼宇主管部门根据本认定办法及《沈阳市星级商务楼宇评分说明》（详见附件3）对申请对象的资格条件、申请条件、申请材料完整性进行初审。签署《沈阳市星级商务楼宇申请表》（详见附件2）初审意见，并将相关纸质材料报沈阳市商务局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（三）评审工作小组复审和评分。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沈阳市商务局、沈阳市发改委、沈阳市自然资源局、沈阳市房产局、沈阳市税务局、沈阳市市场监管局等相关部门，以及楼宇代表、入驻企业代表、楼宇专家等共同组成沈阳市星级商务楼宇评审工作小组。评审工作小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根据《沈阳市星级商务楼宇评分说明》（详见附件3）对各属地楼宇主管部门上报的申请相关纸质材料进行复审并评分，出具拟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认定沈阳市星级商务楼宇名单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。评审工作小组应不定期对参评楼宇进行实地核查。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（四）认定公示。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由沈阳市商务局对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拟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认定沈阳市星级商务楼宇名单上报市领导审定。经市领导审定同意的名单，将在官方媒体平台进行公示，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公示期2周。公示期满无异议后，由沈阳市商务局等部门联合发文公布。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五、附则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（一）沈阳市星级商务楼宇认定工作原则上每年5-6月开展一次，星级商务楼宇自认定之日起有效期一年，有效期满后可申请复评。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（二）沈阳市商务局对认定的星级商务楼宇进行授牌，并给予一定的政策支持。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（三）认定的星级商务楼宇建筑、设施设备、服务项目和运行管理应符合办公建筑、安全、消防、卫生、环境保护国家有关法规和标准，两年内（新建商务楼宇一年内）无重大安全责任事故。</w:t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（四）本认定办法自发布之日起试行一年，由沈阳市商务局等联合印发部门负责解释。</w:t>
      </w:r>
    </w:p>
    <w:p>
      <w:pPr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br w:type="page"/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附件1</w:t>
      </w:r>
    </w:p>
    <w:p>
      <w:pPr>
        <w:autoSpaceDE w:val="0"/>
        <w:autoSpaceDN w:val="0"/>
        <w:snapToGrid w:val="0"/>
        <w:spacing w:line="460" w:lineRule="exact"/>
        <w:jc w:val="center"/>
        <w:rPr>
          <w:rFonts w:ascii="方正小标宋简体" w:hAnsi="宋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kern w:val="0"/>
          <w:sz w:val="40"/>
          <w:szCs w:val="40"/>
          <w:lang w:eastAsia="zh-CN"/>
        </w:rPr>
        <w:t>沈阳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</w:rPr>
        <w:t>市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  <w:lang w:eastAsia="zh-CN"/>
        </w:rPr>
        <w:t>星级商务楼宇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</w:rPr>
        <w:t>评分细则</w:t>
      </w:r>
    </w:p>
    <w:tbl>
      <w:tblPr>
        <w:tblStyle w:val="5"/>
        <w:tblW w:w="875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86"/>
        <w:gridCol w:w="1850"/>
        <w:gridCol w:w="487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宋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指标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评分标准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一、业权状态（5分）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楼宇产权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产权为单一产权，只租不售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产权相对集中，最大面积业主拥有房屋建筑 80%以上的所有权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产权相对集中，最大面积业主拥有房屋建筑 50%以上的所有权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产权相对集中，最大面积业主拥有房屋建筑 30%以上的所有权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、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经济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贡献（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全口径税收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ascii="仿宋_GB2312" w:hAnsi="宋体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楼宇内企业年度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全口径税收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总额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10亿元及以上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5亿元（含）-10亿元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亿元（含）-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亿元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8000万元（含）-1亿元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6000万元（含）-8000万元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4000万元（含）-6000万元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2000万元（含）-4000万元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1000万元（含）-2000万元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大企业数量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年度全口径税收10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00万元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以上企业数量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10家及以上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8（含）-10家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5（含）-8家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3（含）-5家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家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强度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（办公单位面积每平方米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全口径税收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额）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5000元及以上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3000元（含）-5000元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000元（含）-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000元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000元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00元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就业人数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（楼宇内企业年度本地缴纳社保总人数）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1000人及以上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700人（含）-1000人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500人（含）-700人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200人（含）-500人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  <w:t>、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  <w:t>产业集聚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  <w:t>（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入驻率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楼宇内企业入驻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面积占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单体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总办公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面积的百分比）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90%及以上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80%（含）-90%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属地注册率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（在楼宇所在地注册的入驻企业数量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入驻企业总数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的百分比）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80%及以上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70%（含）-80%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60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60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楼宇特色化率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符合楼宇产业定位的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入驻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占楼宇所有入驻企业办公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的百分比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50%及以上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%（含）-50%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%（含）-4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20%（含）-30%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招商策划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配备专业招商团队、具有完善的招商准入和退出制度、开展招商方案策划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、配套服务(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配套设施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周边配套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周边综合配套设施与服务完善，楼宇周边200m内具有如公寓、商住、星级酒店、休闲娱乐及购物中心等配套设施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配套设施2项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停车位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每万平方米商业停车位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80个及以上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客梯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按写字楼地上办公建筑面积计算，客用电梯服务面积不超过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5000平方米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空调系统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采用中央空调系统，用户能根据自我要求调节室内温度、湿度，装有分户或分区计量装置，新风量不低于40m³/h/人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商务服务设施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楼宇内有服务前台、金融网点（ATM机）、共享会议室、快递服务专区等商务服务设施，商务服务设施2项及以上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物业服务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运营体系认证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通过 ISO9001 质量管理体系认证、ISO14001 环境体系认证、ISO/IEC 27001 信息安全管理体系认证、ISO55001 资产管理体系认证、OHSAS 18000 职业健康安全管理体系认证、ISO50001 能源管理体系认证，每通过一项得 1分，最多得4分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人员管理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管理人员具备相应的专业上岗资格证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物业服务人员着装统一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各项规章制度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健全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设施设备运行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设备运行、维护保养实行岗位责任制，且相关档案记录完整、存取方便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客户服务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投诉处理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设置客服中心，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客服中心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设有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24h值班电话，应答及时，受理客户咨询、维修、求助及意见反馈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客户满意度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开展入驻企业满意度测评，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有入驻企业意见收集、反馈和持续改进机制制度、改进结果有报告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专业商务服务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为入驻客户提供专业商务服务如会议会展服务、商务活动策划、法律服务、财税服务、商旅服务、贵宾接送服务、代办服务等，提供商务服务不少于3项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公共服务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开展公益性活动，及时反馈企业入驻、租赁等情况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行业互动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举办或参与国际国内行业招商、参展、建设、管理、服务技术交流推广活动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举办或参与活动不少于1场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、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绿色智能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(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绿色节能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通过国际环保认证或国内环保认证，包括绿色建筑认证、LEED 权威论证、WELL权威论证、RESET权威论证，通过任1项即可得分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智能化系统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采用智能化集成系统、信息化应用系统、信息设施系统、建筑设备管理系统、公共安全系统、机房工程等智能化系统1项及以上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总分合计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widowControl/>
        <w:spacing w:before="156" w:beforeLines="50"/>
        <w:ind w:left="480" w:hanging="480" w:hangingChars="2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4"/>
          <w:highlight w:val="yellow"/>
        </w:rPr>
      </w:pPr>
    </w:p>
    <w:p>
      <w:pPr>
        <w:widowControl/>
        <w:textAlignment w:val="center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br w:type="page"/>
      </w: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附件2 </w:t>
      </w:r>
    </w:p>
    <w:p>
      <w:pPr>
        <w:autoSpaceDE w:val="0"/>
        <w:autoSpaceDN w:val="0"/>
        <w:snapToGrid w:val="0"/>
        <w:spacing w:line="288" w:lineRule="auto"/>
        <w:jc w:val="center"/>
        <w:rPr>
          <w:rFonts w:ascii="方正小标宋简体" w:hAnsi="宋体" w:eastAsia="方正小标宋简体" w:cs="Times New Roman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/>
        </w:rPr>
        <w:t>沈阳</w:t>
      </w:r>
      <w:r>
        <w:rPr>
          <w:rFonts w:hint="eastAsia" w:ascii="方正小标宋简体" w:hAnsi="宋体" w:eastAsia="方正小标宋简体" w:cs="Times New Roman"/>
          <w:sz w:val="40"/>
          <w:szCs w:val="40"/>
        </w:rPr>
        <w:t>市</w:t>
      </w:r>
      <w:r>
        <w:rPr>
          <w:rFonts w:hint="eastAsia" w:ascii="方正小标宋简体" w:hAnsi="宋体" w:eastAsia="方正小标宋简体" w:cs="Times New Roman"/>
          <w:sz w:val="40"/>
          <w:szCs w:val="40"/>
          <w:lang w:eastAsia="zh-CN"/>
        </w:rPr>
        <w:t>星级商务楼宇申请</w:t>
      </w:r>
      <w:r>
        <w:rPr>
          <w:rFonts w:hint="eastAsia" w:ascii="方正小标宋简体" w:hAnsi="宋体" w:eastAsia="方正小标宋简体" w:cs="Times New Roman"/>
          <w:sz w:val="40"/>
          <w:szCs w:val="40"/>
        </w:rPr>
        <w:t>表</w:t>
      </w:r>
    </w:p>
    <w:p>
      <w:pPr>
        <w:widowControl/>
        <w:snapToGrid w:val="0"/>
        <w:spacing w:line="360" w:lineRule="auto"/>
        <w:jc w:val="right"/>
        <w:textAlignment w:val="center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                     </w:t>
      </w:r>
    </w:p>
    <w:tbl>
      <w:tblPr>
        <w:tblStyle w:val="5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5"/>
        <w:gridCol w:w="2250"/>
        <w:gridCol w:w="1763"/>
        <w:gridCol w:w="29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申请主体名称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申请主体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工作联系人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楼宇基础信息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楼宇名称</w:t>
            </w:r>
          </w:p>
        </w:tc>
        <w:tc>
          <w:tcPr>
            <w:tcW w:w="629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楼宇地址</w:t>
            </w:r>
          </w:p>
        </w:tc>
        <w:tc>
          <w:tcPr>
            <w:tcW w:w="629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沈阳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市       区/县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街道/路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业主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主要产权所有人名称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业权持有比例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总建筑面积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(㎡)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商务办公面积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(㎡)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投入使用时间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   月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是否为商务楼宇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楼宇产业定位</w:t>
            </w:r>
          </w:p>
        </w:tc>
        <w:tc>
          <w:tcPr>
            <w:tcW w:w="629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物业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管理机构名称</w:t>
            </w:r>
          </w:p>
        </w:tc>
        <w:tc>
          <w:tcPr>
            <w:tcW w:w="629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申请评定等级</w:t>
            </w:r>
          </w:p>
        </w:tc>
        <w:tc>
          <w:tcPr>
            <w:tcW w:w="6296" w:type="dxa"/>
            <w:gridSpan w:val="4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超级星□    六星□   五星□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材料真实性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  诺</w:t>
            </w:r>
          </w:p>
        </w:tc>
        <w:tc>
          <w:tcPr>
            <w:tcW w:w="6296" w:type="dxa"/>
            <w:gridSpan w:val="4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本次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所提交的材料内容和所附资料均真实、合法，如有不实之处，愿负相应的法律责任，并承担由此产生的一切后果。</w:t>
            </w:r>
          </w:p>
          <w:p>
            <w:pPr>
              <w:widowControl/>
              <w:ind w:firstLine="1320" w:firstLineChars="5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公章：</w:t>
            </w:r>
          </w:p>
          <w:p>
            <w:pPr>
              <w:widowControl/>
              <w:ind w:firstLine="1320" w:firstLineChars="5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负责人签名：</w:t>
            </w:r>
          </w:p>
          <w:p>
            <w:pPr>
              <w:widowControl/>
              <w:ind w:firstLine="1320" w:firstLineChars="5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4901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属地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楼宇主管部门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初审意见: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单位（盖章）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年    月    日</w:t>
            </w:r>
          </w:p>
        </w:tc>
        <w:tc>
          <w:tcPr>
            <w:tcW w:w="4046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沈阳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商务局认定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意见: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00" w:lineRule="atLeast"/>
        <w:ind w:left="480" w:hanging="480" w:hangingChars="200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1.产业定位不多于三个，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>产业定位包括但不限于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现代金融、商贸流通、文化旅游、数字经济、科技服务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专业服务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>工业楼宇、总部楼宇等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00" w:lineRule="atLeast"/>
        <w:ind w:left="479" w:leftChars="228" w:firstLine="0" w:firstLineChars="0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楼宇配套需提供相关图片资料，否则不予采纳；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00" w:lineRule="atLeast"/>
        <w:ind w:left="479" w:leftChars="228" w:firstLine="0" w:firstLineChars="0"/>
        <w:textAlignment w:val="center"/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材料需打印装订成册，一式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两份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br w:type="page"/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附件3</w:t>
      </w:r>
    </w:p>
    <w:p>
      <w:pPr>
        <w:autoSpaceDE w:val="0"/>
        <w:autoSpaceDN w:val="0"/>
        <w:snapToGrid w:val="0"/>
        <w:spacing w:line="460" w:lineRule="exact"/>
        <w:jc w:val="center"/>
        <w:rPr>
          <w:rFonts w:hint="eastAsia" w:ascii="方正小标宋简体" w:hAnsi="宋体" w:eastAsia="方正小标宋简体" w:cs="Times New Roman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Times New Roman"/>
          <w:kern w:val="0"/>
          <w:sz w:val="40"/>
          <w:szCs w:val="40"/>
          <w:lang w:eastAsia="zh-CN"/>
        </w:rPr>
        <w:t>沈阳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</w:rPr>
        <w:t>市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  <w:lang w:eastAsia="zh-CN"/>
        </w:rPr>
        <w:t>星级商务楼宇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</w:rPr>
        <w:t>评分</w:t>
      </w:r>
      <w:r>
        <w:rPr>
          <w:rFonts w:hint="eastAsia" w:ascii="方正小标宋简体" w:hAnsi="宋体" w:eastAsia="方正小标宋简体" w:cs="Times New Roman"/>
          <w:kern w:val="0"/>
          <w:sz w:val="40"/>
          <w:szCs w:val="40"/>
          <w:lang w:val="en-US" w:eastAsia="zh-CN"/>
        </w:rPr>
        <w:t>说明</w:t>
      </w:r>
    </w:p>
    <w:tbl>
      <w:tblPr>
        <w:tblStyle w:val="5"/>
        <w:tblW w:w="13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86"/>
        <w:gridCol w:w="1850"/>
        <w:gridCol w:w="4875"/>
        <w:gridCol w:w="481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宋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指标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评分标准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评分说明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一、业权状态（5分）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楼宇产权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产权为单一产权，只租不售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申请主体提供楼宇产权相关证明资料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产权相对集中，最大面积业主拥有房屋建筑 80%以上的所有权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产权相对集中，最大面积业主拥有房屋建筑 50%以上的所有权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产权相对集中，最大面积业主拥有房屋建筑 30%以上的所有权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、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经济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贡献（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全口径税收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ascii="仿宋_GB2312" w:hAnsi="宋体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楼宇内企业年度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全口径税收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总额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10亿元及以上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申请主体提供楼宇内所有企业年度完税证明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5亿元（含）-10亿元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亿元（含）-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亿元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8000万元（含）-1亿元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6000万元（含）-8000万元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4000万元（含）-6000万元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2000万元（含）-4000万元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1000万元（含）-2000万元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大企业数量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年度全口径税收1000万元及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以上企业数量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10家及以上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申请主体提供楼宇内税收大企业名单，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8（含）-10家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5（含）-8家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3（含）-5家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家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强度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（办公单位面积每平方米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全口径税收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额）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5000元及以上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评审组计算：税收强度=楼宇全口径税收/楼宇商务办公面积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3000元（含）-5000元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000元（含）-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000元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000元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00元（含）-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00元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就业人数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（楼宇内企业年度本地缴纳社保总人数）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1000人及以上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申请主体提供楼宇内所有企业年度本地缴纳社保人员名单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700人（含）-1000人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500人（含）-700人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200人（含）-500人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  <w:t>、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  <w:t>产业集聚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  <w:t>（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黑体" w:hAnsi="宋体" w:eastAsia="黑体" w:cs="仿宋_GB2312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入驻率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楼宇内企业入驻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面积占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单体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总办公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面积的百分比）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90%及以上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申请主体提供楼宇内所有企业租赁或购房合同复印件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评审组计算：入驻率=楼宇企业合同面积总和/单体楼宇商务办公面积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80%（含）-90%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属地注册率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（在楼宇所在地注册的入驻企业数量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入驻企业总数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的百分比）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80%及以上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申请主体提供楼宇内入驻企业名单，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加盖申请主体公章，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在楼宇所在地注册的入驻企业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名单，加盖申请主体公章，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</w:rPr>
              <w:t>在楼宇所在地注册的入驻企业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营业执照复印件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评审组计算：属地注册率=在楼宇所在地注册的入驻企业数量/楼宇入驻企业总数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70%（含）-80%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60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70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%（含）-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60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楼宇特色化率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符合楼宇产业定位的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入驻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占楼宇所有入驻企业办公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的百分比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50%及以上</w:t>
            </w:r>
          </w:p>
        </w:tc>
        <w:tc>
          <w:tcPr>
            <w:tcW w:w="4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符合楼宇产业定位的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入驻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名单及业务介绍，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highlight w:val="none"/>
                <w:lang w:val="en-US" w:eastAsia="zh-CN"/>
              </w:rPr>
              <w:t>加盖申请主体公章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评审组计算：特色化率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=楼宇内某一特定行业及其关联配套企业、机构、个体的合同面积/楼宇企业合同面积总和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%（含）-50%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%（含）-4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</w:rPr>
              <w:t>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20%（含）-30%</w:t>
            </w:r>
          </w:p>
        </w:tc>
        <w:tc>
          <w:tcPr>
            <w:tcW w:w="4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招商策划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配备专业招商团队、具有完善的招商准入和退出制度、开展招商方案策划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lang w:val="en-US" w:eastAsia="zh-CN"/>
              </w:rPr>
              <w:t>申请主体提供相关佐证材料，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、配套服务(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配套设施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周边配套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周边综合配套设施与服务完善，楼宇周边200m内具有如公寓、商住、星级酒店、休闲娱乐及购物中心等配套设施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配套设施2项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以上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以楼宇为基点地图半径200m内具有的配套设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名称及距离材料，加盖申请主体公章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停车位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每万平方米商业停车位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80个及以上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停车场相关资料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面积以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《建筑功能指标规划验收明细表》中写字楼建筑面积为准；停车位以《建筑功能指标规划验收明细表》中地下汽车库项下“泊位数”为准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客梯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按写字楼地上办公建筑面积计算，客用电梯服务面积不超过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5000平方米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申请主体提供客梯照片与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相关技术参数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材料，加盖申请主体公章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空调系统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采用中央空调系统，用户能根据自我要求调节室内温度、湿度，装有分户或分区计量装置，新风量不低于40m³/h/人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申请主体提供空调系统现场照片与图纸，加盖申请主体公章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商务服务设施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楼宇内有服务前台、金融网点（ATM机）、共享会议室、快递服务专区等商务服务设施，商务服务设施2项及以上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申请主体提供楼宇内商务服务设施照片，加盖申请主体公章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物业服务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运营体系认证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通过 ISO9001 质量管理体系认证、ISO14001 环境体系认证、ISO/IEC 27001 信息安全管理体系认证、ISO55001 资产管理体系认证、OHSAS 18000 职业健康安全管理体系认证、ISO50001 能源管理体系认证，每通过一项得 1分，最多得4分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申请主体提供认证证书（需在有效期内）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人员管理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管理人员具备相应的专业上岗资格证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物业服务人员着装统一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各项规章制度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健全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专业上岗资格证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包括相关特种作业操作证、电工作业入网许可证、工作人员健康证、消防管理员证等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服务人员着装照片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；规章制度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相关材料，加盖申请主体公章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设施设备运行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设备运行、维护保养实行岗位责任制，且相关档案记录完整、存取方便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申请主体提供维护保养档案、维护保养合同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现场抽验电梯、通风与空调、给排水、供配电、公共照明、公共安全、信息网络、智能化集成等系统设施设备维护保养情况，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加盖申请主体公章，以及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电梯、消防等外委维护保养合同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现场查验高压进网证、电梯年检合格证、水泵房卫生许可证、二次供水水质监测报告等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客户服务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投诉处理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设置客服中心，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客服中心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设有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24h值班电话，应答及时，受理客户咨询、维修、求助及意见反馈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申请主体提供值班记录、值班电话记录、投诉处理记录台账，加盖申请主体公章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客户满意度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开展入驻企业满意度测评，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有入驻企业意见收集、反馈和持续改进机制制度、改进结果有报告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申请主体提供入驻企业满意度测评结果，以及改进服务质量佐证材料，加盖申请主体公章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专业商务服务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为入驻客户提供专业商务服务如会议会展服务、商务活动策划、法律服务、财税服务、商旅服务、贵宾接送服务、代办服务等，提供商务服务不少于3项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申请主体提供服务方案、服务记录，加盖申请主体公章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公共服务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与政府部门、行业商协会等相关单位建立联络机制并联合开展公益性活动，及时反馈企业入驻、租赁等情况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申请主体提供活动开展证明材料、联络记录、报送资料等，加盖申请主体公章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default" w:ascii="仿宋_GB2312" w:hAnsi="宋体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行业互动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举办或参与国际国内行业招商、参展、建设、管理、服务技术交流推广活动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举办或参与活动不少于1场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申请主体提供活动佐证材料，包括活动计划、预算、过程记录、总结等，加盖申请主体公章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、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绿色智能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(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宋体" w:eastAsia="黑体" w:cs="仿宋_GB2312"/>
                <w:color w:val="000000"/>
                <w:spacing w:val="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绿色节能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通过国际环保认证或国内环保认证，包括绿色建筑认证、LEED 权威论证、WELL权威论证、RESET权威论证，通过任1项即可得分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申请主体提供认证证书（需在有效期内）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智能化系统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采用智能化集成系统、信息化应用系统、信息设施系统、建筑设备管理系统、公共安全系统、机房工程等智能化系统1项及以上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申请主体提供相关佐证材料，加盖申请主体公章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智能化集成系统采用网络交换机将信息设施系统、信息化应用系统、建筑设备管理系统、公共安全系统各子系统中的数据集成到中央管理系统、对各子系统的信息资源进行分享，实现综合管理；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信息化应用系统依据GB50314-2015《智能建筑设计标准》相关规定，包括公共服务系统、智能卡应用系统、物业管理系统、信息设施运行管理系统、信息安全管理系统等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信息设施系统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包括信息接入系统、布线系统、信息网络系统、公共广播系统、会议系统、信息导引及发布系统等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建筑设备管理系统包括建筑设备监控系统、建筑能效监管系统等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公共安全系统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包括火灾自动报警系统、安全技术防范系统、自动体外除颤器AED设备等应急响应系统；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机房工程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包括包括信息接入机房、有线电视前端机房、信息设施系统总配线机房、智能化总控室、信息网络机房、消防控制室、安防监控中心、应急响应中心和智能化设备间（弱电间、电信间）等。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63" w:beforeLines="20" w:after="63" w:afterLines="2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</w:p>
        </w:tc>
      </w:tr>
    </w:tbl>
    <w:p>
      <w:pPr>
        <w:rPr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MDQ4MDQxMjYwNzk4NTZiZmI0M2EyZDZmOTg3MTUifQ=="/>
    <w:docVar w:name="KSO_WPS_MARK_KEY" w:val="5b556829-b9fd-40a9-af3d-3c5955162a7a"/>
  </w:docVars>
  <w:rsids>
    <w:rsidRoot w:val="10342A3A"/>
    <w:rsid w:val="005A0BDB"/>
    <w:rsid w:val="00B72711"/>
    <w:rsid w:val="017240DE"/>
    <w:rsid w:val="03B821AF"/>
    <w:rsid w:val="041B280B"/>
    <w:rsid w:val="0517294F"/>
    <w:rsid w:val="05234976"/>
    <w:rsid w:val="05B85534"/>
    <w:rsid w:val="06A765D7"/>
    <w:rsid w:val="08851FE1"/>
    <w:rsid w:val="08E72CCB"/>
    <w:rsid w:val="093C56FD"/>
    <w:rsid w:val="09455F12"/>
    <w:rsid w:val="09885837"/>
    <w:rsid w:val="0E541367"/>
    <w:rsid w:val="0E9D7B02"/>
    <w:rsid w:val="0EBB5A3A"/>
    <w:rsid w:val="0EDE1004"/>
    <w:rsid w:val="0FA37F35"/>
    <w:rsid w:val="10342A3A"/>
    <w:rsid w:val="10466346"/>
    <w:rsid w:val="112E1DCF"/>
    <w:rsid w:val="12D55F11"/>
    <w:rsid w:val="12F9530C"/>
    <w:rsid w:val="14487060"/>
    <w:rsid w:val="145C30F7"/>
    <w:rsid w:val="14B307DB"/>
    <w:rsid w:val="14C30E98"/>
    <w:rsid w:val="16063447"/>
    <w:rsid w:val="17032EB3"/>
    <w:rsid w:val="17713000"/>
    <w:rsid w:val="1902112B"/>
    <w:rsid w:val="1AD8522C"/>
    <w:rsid w:val="1B901D16"/>
    <w:rsid w:val="1C816AA4"/>
    <w:rsid w:val="1D6923E1"/>
    <w:rsid w:val="1DCE3577"/>
    <w:rsid w:val="21CB3F90"/>
    <w:rsid w:val="21EF11D6"/>
    <w:rsid w:val="21EF23EB"/>
    <w:rsid w:val="22D02936"/>
    <w:rsid w:val="22FA2B18"/>
    <w:rsid w:val="237F64BA"/>
    <w:rsid w:val="24920A18"/>
    <w:rsid w:val="270441E6"/>
    <w:rsid w:val="27EF79D0"/>
    <w:rsid w:val="28060C67"/>
    <w:rsid w:val="2B710DFC"/>
    <w:rsid w:val="2BA70440"/>
    <w:rsid w:val="2BC75B1A"/>
    <w:rsid w:val="2BDD6474"/>
    <w:rsid w:val="2C1320C0"/>
    <w:rsid w:val="2D510EC7"/>
    <w:rsid w:val="2D887357"/>
    <w:rsid w:val="2F8A7EF2"/>
    <w:rsid w:val="30CD6E71"/>
    <w:rsid w:val="342C582E"/>
    <w:rsid w:val="34DD2317"/>
    <w:rsid w:val="35531555"/>
    <w:rsid w:val="35904736"/>
    <w:rsid w:val="365F68EE"/>
    <w:rsid w:val="37EF4FE4"/>
    <w:rsid w:val="37F21C57"/>
    <w:rsid w:val="38FE5445"/>
    <w:rsid w:val="39780366"/>
    <w:rsid w:val="3BAC5E63"/>
    <w:rsid w:val="41C37166"/>
    <w:rsid w:val="41D72FBD"/>
    <w:rsid w:val="43505326"/>
    <w:rsid w:val="481F1144"/>
    <w:rsid w:val="49670780"/>
    <w:rsid w:val="4B254752"/>
    <w:rsid w:val="4B4D6D1A"/>
    <w:rsid w:val="4ECD2B92"/>
    <w:rsid w:val="5223407E"/>
    <w:rsid w:val="53A913E3"/>
    <w:rsid w:val="53AE0572"/>
    <w:rsid w:val="54FE2A13"/>
    <w:rsid w:val="553920BD"/>
    <w:rsid w:val="568155AA"/>
    <w:rsid w:val="56D823DB"/>
    <w:rsid w:val="578068BE"/>
    <w:rsid w:val="584720E0"/>
    <w:rsid w:val="58CD3B33"/>
    <w:rsid w:val="5DE0757A"/>
    <w:rsid w:val="5F305E02"/>
    <w:rsid w:val="618741B1"/>
    <w:rsid w:val="61D92C5E"/>
    <w:rsid w:val="61F11AE4"/>
    <w:rsid w:val="62A85ACE"/>
    <w:rsid w:val="636447A9"/>
    <w:rsid w:val="6471052C"/>
    <w:rsid w:val="64F125C5"/>
    <w:rsid w:val="67313CD0"/>
    <w:rsid w:val="69AC6EAA"/>
    <w:rsid w:val="6B7003B8"/>
    <w:rsid w:val="6B8E7776"/>
    <w:rsid w:val="6C224F66"/>
    <w:rsid w:val="6F5C4ECE"/>
    <w:rsid w:val="6F7D3C09"/>
    <w:rsid w:val="70BB0D44"/>
    <w:rsid w:val="721B697B"/>
    <w:rsid w:val="72386128"/>
    <w:rsid w:val="75204114"/>
    <w:rsid w:val="78097C67"/>
    <w:rsid w:val="791660EE"/>
    <w:rsid w:val="791C079E"/>
    <w:rsid w:val="799C32AA"/>
    <w:rsid w:val="7A0003CA"/>
    <w:rsid w:val="7A5829CA"/>
    <w:rsid w:val="7AE855FB"/>
    <w:rsid w:val="7BE64DEE"/>
    <w:rsid w:val="7CD51E1C"/>
    <w:rsid w:val="7D0A5F6A"/>
    <w:rsid w:val="7DD86068"/>
    <w:rsid w:val="7E123328"/>
    <w:rsid w:val="7F343777"/>
    <w:rsid w:val="7FD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6236</Words>
  <Characters>6784</Characters>
  <Lines>0</Lines>
  <Paragraphs>0</Paragraphs>
  <TotalTime>22</TotalTime>
  <ScaleCrop>false</ScaleCrop>
  <LinksUpToDate>false</LinksUpToDate>
  <CharactersWithSpaces>6973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2024-04-17T07:15:00Z</dcterms:created>
  <dc:creator>Thinkpad</dc:creator>
  <cp:lastModifiedBy>WPS_1663656644</cp:lastModifiedBy>
  <dcterms:modified xsi:type="dcterms:W3CDTF">2024-05-21T05:32:35Z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B8397A9A664B4B0CAA10C15140BEAEF9</vt:lpwstr>
  </property>
</Properties>
</file>