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方正小标宋简体" w:cs="方正小标宋简体"/>
          <w:bCs/>
          <w:color w:val="auto"/>
          <w:sz w:val="44"/>
          <w:szCs w:val="44"/>
          <w:highlight w:val="none"/>
        </w:rPr>
      </w:pPr>
      <w:r>
        <w:rPr>
          <w:rFonts w:hint="eastAsia" w:ascii="仿宋_GB2312" w:hAnsi="仿宋_GB2312" w:eastAsia="方正小标宋简体" w:cs="方正小标宋简体"/>
          <w:bCs/>
          <w:color w:val="auto"/>
          <w:sz w:val="44"/>
          <w:szCs w:val="44"/>
          <w:highlight w:val="none"/>
        </w:rPr>
        <w:t>沈阳市零售业创新提升试点城市</w:t>
      </w:r>
      <w:r>
        <w:rPr>
          <w:rFonts w:hint="eastAsia" w:ascii="仿宋_GB2312" w:hAnsi="仿宋_GB2312" w:eastAsia="方正小标宋简体" w:cs="方正小标宋简体"/>
          <w:bCs/>
          <w:color w:val="auto"/>
          <w:sz w:val="44"/>
          <w:szCs w:val="44"/>
          <w:highlight w:val="none"/>
          <w:lang w:eastAsia="zh-CN"/>
        </w:rPr>
        <w:t>实施</w:t>
      </w:r>
      <w:r>
        <w:rPr>
          <w:rFonts w:hint="eastAsia" w:ascii="仿宋_GB2312" w:hAnsi="仿宋_GB2312" w:eastAsia="方正小标宋简体" w:cs="方正小标宋简体"/>
          <w:bCs/>
          <w:color w:val="auto"/>
          <w:sz w:val="44"/>
          <w:szCs w:val="44"/>
          <w:highlight w:val="none"/>
        </w:rPr>
        <w:t>方案</w:t>
      </w:r>
    </w:p>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楷体" w:hAnsi="楷体" w:eastAsia="楷体" w:cs="楷体"/>
          <w:bCs/>
          <w:color w:val="auto"/>
          <w:sz w:val="32"/>
          <w:szCs w:val="32"/>
          <w:highlight w:val="none"/>
          <w:lang w:eastAsia="zh-CN"/>
        </w:rPr>
      </w:pPr>
      <w:r>
        <w:rPr>
          <w:rFonts w:hint="eastAsia" w:ascii="楷体" w:hAnsi="楷体" w:eastAsia="楷体" w:cs="楷体"/>
          <w:bCs/>
          <w:color w:val="auto"/>
          <w:sz w:val="32"/>
          <w:szCs w:val="32"/>
          <w:highlight w:val="none"/>
          <w:lang w:eastAsia="zh-CN"/>
        </w:rPr>
        <w:t>（征求意见稿）</w:t>
      </w:r>
    </w:p>
    <w:p>
      <w:pPr>
        <w:keepNext w:val="0"/>
        <w:keepLines w:val="0"/>
        <w:pageBreakBefore w:val="0"/>
        <w:kinsoku/>
        <w:wordWrap/>
        <w:overflowPunct/>
        <w:topLinePunct w:val="0"/>
        <w:autoSpaceDE/>
        <w:autoSpaceDN/>
        <w:bidi w:val="0"/>
        <w:spacing w:line="560" w:lineRule="exact"/>
        <w:ind w:firstLine="643"/>
        <w:textAlignment w:val="auto"/>
        <w:rPr>
          <w:rFonts w:hint="eastAsia" w:ascii="仿宋_GB2312" w:hAnsi="仿宋_GB2312" w:cs="仿宋_GB2312"/>
          <w:b/>
          <w:color w:val="auto"/>
          <w:szCs w:val="32"/>
          <w:highlight w:val="none"/>
        </w:rPr>
      </w:pPr>
    </w:p>
    <w:p>
      <w:pPr>
        <w:keepNext w:val="0"/>
        <w:keepLines w:val="0"/>
        <w:pageBreakBefore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为贯彻落实《零售业创新提升工程实施方案</w:t>
      </w:r>
      <w:r>
        <w:rPr>
          <w:rFonts w:hint="eastAsia" w:ascii="仿宋_GB2312" w:hAnsi="仿宋_GB2312" w:eastAsia="仿宋_GB2312" w:cs="仿宋_GB2312"/>
          <w:color w:val="auto"/>
          <w:szCs w:val="32"/>
          <w:highlight w:val="none"/>
          <w:lang w:eastAsia="zh-CN"/>
        </w:rPr>
        <w:t>》（商办流通函</w:t>
      </w:r>
      <w:r>
        <w:rPr>
          <w:rFonts w:hint="eastAsia" w:ascii="仿宋_GB2312" w:hAnsi="仿宋"/>
          <w:color w:val="auto"/>
          <w:szCs w:val="32"/>
          <w:highlight w:val="none"/>
        </w:rPr>
        <w:t>〔202</w:t>
      </w:r>
      <w:r>
        <w:rPr>
          <w:rFonts w:hint="eastAsia" w:ascii="仿宋_GB2312" w:hAnsi="仿宋"/>
          <w:color w:val="auto"/>
          <w:szCs w:val="32"/>
          <w:highlight w:val="none"/>
          <w:lang w:val="en-US" w:eastAsia="zh-CN"/>
        </w:rPr>
        <w:t>4</w:t>
      </w:r>
      <w:r>
        <w:rPr>
          <w:rFonts w:hint="eastAsia" w:ascii="仿宋_GB2312" w:hAnsi="仿宋"/>
          <w:color w:val="auto"/>
          <w:szCs w:val="32"/>
          <w:highlight w:val="none"/>
        </w:rPr>
        <w:t>〕</w:t>
      </w:r>
      <w:r>
        <w:rPr>
          <w:rFonts w:hint="eastAsia" w:ascii="仿宋_GB2312" w:hAnsi="仿宋"/>
          <w:color w:val="auto"/>
          <w:szCs w:val="32"/>
          <w:highlight w:val="none"/>
          <w:lang w:val="en-US" w:eastAsia="zh-CN"/>
        </w:rPr>
        <w:t>45</w:t>
      </w:r>
      <w:r>
        <w:rPr>
          <w:rFonts w:hint="eastAsia" w:ascii="仿宋_GB2312" w:hAnsi="仿宋"/>
          <w:color w:val="auto"/>
          <w:szCs w:val="32"/>
          <w:highlight w:val="none"/>
        </w:rPr>
        <w:t>8号</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lang w:val="en-US" w:eastAsia="zh-CN"/>
        </w:rPr>
        <w:t>部署任务和工作</w:t>
      </w:r>
      <w:r>
        <w:rPr>
          <w:rFonts w:hint="eastAsia" w:ascii="仿宋_GB2312" w:hAnsi="仿宋_GB2312" w:eastAsia="仿宋_GB2312" w:cs="仿宋_GB2312"/>
          <w:color w:val="auto"/>
          <w:szCs w:val="32"/>
          <w:highlight w:val="none"/>
          <w:lang w:eastAsia="zh-CN"/>
        </w:rPr>
        <w:t>要求，充分利用沈阳市入选</w:t>
      </w:r>
      <w:r>
        <w:rPr>
          <w:rFonts w:hint="eastAsia" w:ascii="仿宋_GB2312" w:hAnsi="仿宋_GB2312" w:eastAsia="仿宋_GB2312" w:cs="仿宋_GB2312"/>
          <w:color w:val="auto"/>
          <w:szCs w:val="32"/>
          <w:highlight w:val="none"/>
          <w:lang w:val="en-US" w:eastAsia="zh-CN"/>
        </w:rPr>
        <w:t>第一批全国零售业创新试点城市的契机</w:t>
      </w:r>
      <w:r>
        <w:rPr>
          <w:rFonts w:hint="eastAsia" w:ascii="仿宋_GB2312" w:hAnsi="仿宋_GB2312" w:eastAsia="仿宋_GB2312" w:cs="仿宋_GB2312"/>
          <w:color w:val="auto"/>
          <w:szCs w:val="32"/>
          <w:highlight w:val="none"/>
        </w:rPr>
        <w:t>，</w:t>
      </w:r>
      <w:r>
        <w:rPr>
          <w:rFonts w:hint="eastAsia" w:ascii="仿宋_GB2312" w:hAnsi="仿宋_GB2312" w:eastAsia="仿宋_GB2312" w:cs="仿宋_GB2312"/>
          <w:color w:val="auto"/>
          <w:szCs w:val="32"/>
          <w:highlight w:val="none"/>
          <w:lang w:eastAsia="zh-CN"/>
        </w:rPr>
        <w:t>推动我市零售业商业设施改造提升，</w:t>
      </w:r>
      <w:r>
        <w:rPr>
          <w:rFonts w:hint="eastAsia" w:ascii="仿宋_GB2312" w:hAnsi="仿宋_GB2312" w:eastAsia="仿宋_GB2312" w:cs="仿宋_GB2312"/>
          <w:color w:val="auto"/>
          <w:szCs w:val="32"/>
          <w:highlight w:val="none"/>
          <w:lang w:val="en-US" w:eastAsia="zh-CN"/>
        </w:rPr>
        <w:t>加快建设</w:t>
      </w:r>
      <w:r>
        <w:rPr>
          <w:rFonts w:hint="eastAsia" w:ascii="仿宋_GB2312" w:hAnsi="仿宋_GB2312" w:eastAsia="仿宋_GB2312" w:cs="仿宋_GB2312"/>
          <w:color w:val="auto"/>
          <w:szCs w:val="32"/>
          <w:highlight w:val="none"/>
          <w:lang w:eastAsia="zh-CN"/>
        </w:rPr>
        <w:t>零售业创新提升示范城市，</w:t>
      </w:r>
      <w:r>
        <w:rPr>
          <w:rFonts w:hint="eastAsia" w:ascii="仿宋_GB2312" w:hAnsi="仿宋_GB2312" w:eastAsia="仿宋_GB2312" w:cs="仿宋_GB2312"/>
          <w:color w:val="auto"/>
          <w:szCs w:val="32"/>
          <w:highlight w:val="none"/>
        </w:rPr>
        <w:t>结合</w:t>
      </w:r>
      <w:r>
        <w:rPr>
          <w:rFonts w:hint="eastAsia" w:ascii="仿宋_GB2312" w:hAnsi="仿宋_GB2312" w:eastAsia="仿宋_GB2312" w:cs="仿宋_GB2312"/>
          <w:color w:val="auto"/>
          <w:szCs w:val="32"/>
          <w:highlight w:val="none"/>
          <w:lang w:eastAsia="zh-CN"/>
        </w:rPr>
        <w:t>我</w:t>
      </w:r>
      <w:r>
        <w:rPr>
          <w:rFonts w:hint="eastAsia" w:ascii="仿宋_GB2312" w:hAnsi="仿宋_GB2312" w:eastAsia="仿宋_GB2312" w:cs="仿宋_GB2312"/>
          <w:color w:val="auto"/>
          <w:szCs w:val="32"/>
          <w:highlight w:val="none"/>
        </w:rPr>
        <w:t>市实际，制订本实施方案。</w:t>
      </w:r>
    </w:p>
    <w:p>
      <w:pPr>
        <w:pStyle w:val="51"/>
        <w:keepNext w:val="0"/>
        <w:keepLines w:val="0"/>
        <w:pageBreakBefore w:val="0"/>
        <w:kinsoku/>
        <w:wordWrap/>
        <w:overflowPunct/>
        <w:topLinePunct w:val="0"/>
        <w:autoSpaceDE/>
        <w:autoSpaceDN/>
        <w:bidi w:val="0"/>
        <w:spacing w:line="560" w:lineRule="exact"/>
        <w:ind w:firstLine="640"/>
        <w:textAlignment w:val="auto"/>
        <w:rPr>
          <w:rFonts w:hint="eastAsia" w:ascii="仿宋_GB2312" w:hAnsi="仿宋_GB2312" w:eastAsia="黑体"/>
          <w:color w:val="auto"/>
          <w:highlight w:val="none"/>
          <w:lang w:eastAsia="zh-CN"/>
        </w:rPr>
      </w:pPr>
      <w:r>
        <w:rPr>
          <w:rFonts w:hint="eastAsia" w:ascii="仿宋_GB2312" w:hAnsi="仿宋_GB2312"/>
          <w:color w:val="auto"/>
          <w:highlight w:val="none"/>
          <w:lang w:eastAsia="zh-CN"/>
        </w:rPr>
        <w:t>一</w:t>
      </w:r>
      <w:r>
        <w:rPr>
          <w:rFonts w:hint="eastAsia" w:ascii="仿宋_GB2312" w:hAnsi="仿宋_GB2312"/>
          <w:color w:val="auto"/>
          <w:highlight w:val="none"/>
        </w:rPr>
        <w:t>、</w:t>
      </w:r>
      <w:r>
        <w:rPr>
          <w:rFonts w:hint="eastAsia" w:ascii="仿宋_GB2312" w:hAnsi="仿宋_GB2312"/>
          <w:color w:val="auto"/>
          <w:highlight w:val="none"/>
          <w:lang w:eastAsia="zh-CN"/>
        </w:rPr>
        <w:t>总体要求</w:t>
      </w:r>
    </w:p>
    <w:p>
      <w:pPr>
        <w:pStyle w:val="53"/>
        <w:keepNext w:val="0"/>
        <w:keepLines w:val="0"/>
        <w:pageBreakBefore w:val="0"/>
        <w:kinsoku/>
        <w:wordWrap/>
        <w:overflowPunct/>
        <w:topLinePunct w:val="0"/>
        <w:autoSpaceDE/>
        <w:autoSpaceDN/>
        <w:bidi w:val="0"/>
        <w:spacing w:line="560" w:lineRule="exact"/>
        <w:ind w:firstLine="643"/>
        <w:textAlignment w:val="auto"/>
        <w:rPr>
          <w:rFonts w:ascii="仿宋_GB2312" w:hAnsi="仿宋_GB2312" w:cs="楷体"/>
          <w:color w:val="auto"/>
          <w:highlight w:val="none"/>
        </w:rPr>
      </w:pPr>
      <w:r>
        <w:rPr>
          <w:rFonts w:hint="eastAsia" w:ascii="仿宋_GB2312" w:hAnsi="仿宋_GB2312" w:cs="楷体"/>
          <w:color w:val="auto"/>
          <w:highlight w:val="none"/>
        </w:rPr>
        <w:t>（一）工作思路</w:t>
      </w:r>
    </w:p>
    <w:p>
      <w:pPr>
        <w:keepNext w:val="0"/>
        <w:keepLines w:val="0"/>
        <w:pageBreakBefore w:val="0"/>
        <w:kinsoku/>
        <w:wordWrap/>
        <w:overflowPunct/>
        <w:topLinePunct w:val="0"/>
        <w:autoSpaceDE/>
        <w:autoSpaceDN/>
        <w:bidi w:val="0"/>
        <w:spacing w:line="560" w:lineRule="exact"/>
        <w:ind w:firstLine="640"/>
        <w:textAlignment w:val="auto"/>
        <w:rPr>
          <w:rFonts w:hint="default" w:ascii="仿宋_GB2312" w:hAnsi="仿宋_GB2312" w:eastAsia="仿宋_GB2312" w:cs="仿宋_GB2312"/>
          <w:color w:val="auto"/>
          <w:szCs w:val="32"/>
          <w:highlight w:val="none"/>
          <w:lang w:val="en-US"/>
        </w:rPr>
      </w:pPr>
      <w:r>
        <w:rPr>
          <w:rFonts w:hint="eastAsia" w:ascii="仿宋_GB2312" w:hAnsi="仿宋_GB2312" w:eastAsia="仿宋_GB2312" w:cs="仿宋_GB2312"/>
          <w:color w:val="auto"/>
          <w:highlight w:val="none"/>
        </w:rPr>
        <w:t>坚持以习近平新时代中国特色社会主义思想为指导，</w:t>
      </w:r>
      <w:r>
        <w:rPr>
          <w:rFonts w:hint="eastAsia" w:ascii="仿宋_GB2312" w:hAnsi="仿宋_GB2312" w:eastAsia="仿宋_GB2312" w:cs="仿宋_GB2312"/>
          <w:color w:val="auto"/>
          <w:highlight w:val="none"/>
          <w:lang w:val="en-US" w:eastAsia="zh-CN"/>
        </w:rPr>
        <w:t>全面贯彻党的二十大和二十届二中、三中全会，以及中央财经委员会第四次会议精神，深入落实习近平总书记考察辽宁重要讲话和重要指示精神，落实市委、市政府相关目标任务，全面贯彻新发展理念，聚焦零售商业设施改造提升，健全工作机制，创新工作方式，强化支持政策，完善现代商贸流通体系和扩大消费长效机制，实现我市零售业高质量发展。</w:t>
      </w:r>
    </w:p>
    <w:p>
      <w:pPr>
        <w:pStyle w:val="53"/>
        <w:keepNext w:val="0"/>
        <w:keepLines w:val="0"/>
        <w:pageBreakBefore w:val="0"/>
        <w:kinsoku/>
        <w:wordWrap/>
        <w:overflowPunct/>
        <w:topLinePunct w:val="0"/>
        <w:autoSpaceDE/>
        <w:autoSpaceDN/>
        <w:bidi w:val="0"/>
        <w:spacing w:line="560" w:lineRule="exact"/>
        <w:ind w:firstLine="643"/>
        <w:textAlignment w:val="auto"/>
        <w:rPr>
          <w:rFonts w:ascii="仿宋_GB2312" w:hAnsi="仿宋_GB2312" w:cs="楷体"/>
          <w:color w:val="auto"/>
          <w:highlight w:val="none"/>
        </w:rPr>
      </w:pPr>
      <w:r>
        <w:rPr>
          <w:rFonts w:hint="eastAsia" w:ascii="仿宋_GB2312" w:hAnsi="仿宋_GB2312" w:cs="楷体"/>
          <w:color w:val="auto"/>
          <w:highlight w:val="none"/>
          <w:lang w:eastAsia="zh-CN"/>
        </w:rPr>
        <w:t>（</w:t>
      </w:r>
      <w:r>
        <w:rPr>
          <w:rFonts w:hint="eastAsia" w:ascii="仿宋_GB2312" w:hAnsi="仿宋_GB2312" w:cs="楷体"/>
          <w:color w:val="auto"/>
          <w:highlight w:val="none"/>
          <w:lang w:val="en-US" w:eastAsia="zh-CN"/>
        </w:rPr>
        <w:t>二</w:t>
      </w:r>
      <w:r>
        <w:rPr>
          <w:rFonts w:hint="eastAsia" w:ascii="仿宋_GB2312" w:hAnsi="仿宋_GB2312" w:cs="楷体"/>
          <w:color w:val="auto"/>
          <w:highlight w:val="none"/>
          <w:lang w:eastAsia="zh-CN"/>
        </w:rPr>
        <w:t>）</w:t>
      </w:r>
      <w:r>
        <w:rPr>
          <w:rFonts w:hint="eastAsia" w:ascii="仿宋_GB2312" w:hAnsi="仿宋_GB2312" w:cs="楷体"/>
          <w:color w:val="auto"/>
          <w:highlight w:val="none"/>
        </w:rPr>
        <w:t>工作目标</w:t>
      </w:r>
    </w:p>
    <w:p>
      <w:pPr>
        <w:keepNext w:val="0"/>
        <w:keepLines w:val="0"/>
        <w:pageBreakBefore w:val="0"/>
        <w:kinsoku/>
        <w:wordWrap/>
        <w:overflowPunct/>
        <w:topLinePunct w:val="0"/>
        <w:autoSpaceDE/>
        <w:autoSpaceDN/>
        <w:bidi w:val="0"/>
        <w:spacing w:line="560" w:lineRule="exact"/>
        <w:ind w:firstLine="640"/>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从2025年-2027年</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利用两年时间完成一批存量零售商业设施改造，推进我市零售市场加快扩容提质增效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消费供给更加丰富、空间布局更加均衡、</w:t>
      </w:r>
      <w:r>
        <w:rPr>
          <w:rFonts w:hint="eastAsia" w:ascii="仿宋_GB2312" w:hAnsi="仿宋_GB2312" w:eastAsia="仿宋_GB2312" w:cs="仿宋_GB2312"/>
          <w:color w:val="auto"/>
          <w:highlight w:val="none"/>
        </w:rPr>
        <w:t>消费活力明显增强</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业态融合创新卓有成效</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服务水平明显提高</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培育一批百亿元级零售龙头企业</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努力将我市</w:t>
      </w:r>
      <w:r>
        <w:rPr>
          <w:rFonts w:hint="eastAsia" w:ascii="仿宋_GB2312" w:hAnsi="仿宋_GB2312" w:eastAsia="仿宋_GB2312" w:cs="仿宋_GB2312"/>
          <w:color w:val="auto"/>
          <w:highlight w:val="none"/>
        </w:rPr>
        <w:t>打造</w:t>
      </w:r>
      <w:r>
        <w:rPr>
          <w:rFonts w:hint="eastAsia" w:ascii="仿宋_GB2312" w:hAnsi="仿宋_GB2312" w:eastAsia="仿宋_GB2312" w:cs="仿宋_GB2312"/>
          <w:color w:val="auto"/>
          <w:highlight w:val="none"/>
          <w:lang w:val="en-US" w:eastAsia="zh-CN"/>
        </w:rPr>
        <w:t>成为</w:t>
      </w:r>
      <w:r>
        <w:rPr>
          <w:rFonts w:hint="eastAsia" w:ascii="仿宋_GB2312" w:hAnsi="仿宋_GB2312" w:eastAsia="仿宋_GB2312" w:cs="仿宋_GB2312"/>
          <w:color w:val="auto"/>
          <w:highlight w:val="none"/>
        </w:rPr>
        <w:t>国内零售业创新提升示范城市，</w:t>
      </w:r>
      <w:r>
        <w:rPr>
          <w:rFonts w:hint="eastAsia" w:ascii="仿宋_GB2312" w:hAnsi="仿宋_GB2312" w:eastAsia="仿宋_GB2312" w:cs="仿宋_GB2312"/>
          <w:color w:val="auto"/>
          <w:highlight w:val="none"/>
          <w:lang w:eastAsia="zh-CN"/>
        </w:rPr>
        <w:t>到2027年</w:t>
      </w:r>
      <w:r>
        <w:rPr>
          <w:rFonts w:hint="eastAsia" w:ascii="仿宋_GB2312" w:hAnsi="仿宋_GB2312" w:cs="仿宋_GB2312" w:eastAsiaTheme="minorEastAsia"/>
          <w:color w:val="auto"/>
          <w:highlight w:val="none"/>
        </w:rPr>
        <w:t>，</w:t>
      </w:r>
      <w:r>
        <w:rPr>
          <w:rFonts w:hint="eastAsia" w:ascii="仿宋_GB2312" w:hAnsi="仿宋_GB2312" w:eastAsia="仿宋_GB2312" w:cs="仿宋_GB2312"/>
          <w:color w:val="auto"/>
          <w:highlight w:val="none"/>
        </w:rPr>
        <w:t>全市实现社会消费品零售总额达到4800亿元，年均增长5%左右。</w:t>
      </w:r>
    </w:p>
    <w:p>
      <w:pPr>
        <w:pStyle w:val="51"/>
        <w:keepNext w:val="0"/>
        <w:keepLines w:val="0"/>
        <w:pageBreakBefore w:val="0"/>
        <w:kinsoku/>
        <w:wordWrap/>
        <w:overflowPunct/>
        <w:topLinePunct w:val="0"/>
        <w:autoSpaceDE/>
        <w:autoSpaceDN/>
        <w:bidi w:val="0"/>
        <w:spacing w:line="560" w:lineRule="exact"/>
        <w:ind w:firstLine="640"/>
        <w:textAlignment w:val="auto"/>
        <w:rPr>
          <w:rFonts w:ascii="仿宋_GB2312" w:hAnsi="仿宋_GB2312"/>
          <w:color w:val="auto"/>
          <w:highlight w:val="none"/>
        </w:rPr>
      </w:pPr>
      <w:r>
        <w:rPr>
          <w:rFonts w:hint="eastAsia" w:ascii="仿宋_GB2312" w:hAnsi="仿宋_GB2312"/>
          <w:color w:val="auto"/>
          <w:highlight w:val="none"/>
          <w:lang w:eastAsia="zh-CN"/>
        </w:rPr>
        <w:t>二</w:t>
      </w:r>
      <w:r>
        <w:rPr>
          <w:rFonts w:hint="eastAsia" w:ascii="仿宋_GB2312" w:hAnsi="仿宋_GB2312"/>
          <w:color w:val="auto"/>
          <w:highlight w:val="none"/>
        </w:rPr>
        <w:t>、主要任务</w:t>
      </w:r>
    </w:p>
    <w:p>
      <w:pPr>
        <w:pStyle w:val="53"/>
        <w:keepNext w:val="0"/>
        <w:keepLines w:val="0"/>
        <w:pageBreakBefore w:val="0"/>
        <w:kinsoku/>
        <w:wordWrap/>
        <w:overflowPunct/>
        <w:topLinePunct w:val="0"/>
        <w:autoSpaceDE/>
        <w:autoSpaceDN/>
        <w:bidi w:val="0"/>
        <w:spacing w:line="560" w:lineRule="exact"/>
        <w:ind w:firstLine="643"/>
        <w:textAlignment w:val="auto"/>
        <w:rPr>
          <w:rFonts w:ascii="仿宋_GB2312" w:hAnsi="仿宋_GB2312" w:cs="楷体"/>
          <w:color w:val="auto"/>
          <w:highlight w:val="none"/>
        </w:rPr>
      </w:pPr>
      <w:r>
        <w:rPr>
          <w:rFonts w:hint="eastAsia" w:ascii="仿宋_GB2312" w:hAnsi="仿宋_GB2312" w:cs="楷体"/>
          <w:color w:val="auto"/>
          <w:highlight w:val="none"/>
        </w:rPr>
        <w:t>（一）场景化改造提升工程</w:t>
      </w:r>
    </w:p>
    <w:p>
      <w:pPr>
        <w:keepNext w:val="0"/>
        <w:keepLines w:val="0"/>
        <w:pageBreakBefore w:val="0"/>
        <w:kinsoku/>
        <w:wordWrap/>
        <w:overflowPunct/>
        <w:topLinePunct w:val="0"/>
        <w:autoSpaceDE/>
        <w:autoSpaceDN/>
        <w:bidi w:val="0"/>
        <w:spacing w:line="560" w:lineRule="exact"/>
        <w:ind w:firstLine="640"/>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以融合型、时尚型、策展型、主题型、社区型商业为引领， </w:t>
      </w:r>
      <w:r>
        <w:rPr>
          <w:rFonts w:hint="eastAsia" w:ascii="仿宋_GB2312" w:hAnsi="仿宋_GB2312" w:eastAsia="仿宋_GB2312" w:cs="仿宋_GB2312"/>
          <w:color w:val="auto"/>
          <w:highlight w:val="none"/>
          <w:lang w:eastAsia="zh-CN"/>
        </w:rPr>
        <w:t>到2027年</w:t>
      </w:r>
      <w:r>
        <w:rPr>
          <w:rFonts w:hint="eastAsia" w:ascii="仿宋_GB2312" w:hAnsi="仿宋_GB2312" w:cs="仿宋_GB2312" w:eastAsiaTheme="minorEastAsia"/>
          <w:color w:val="auto"/>
          <w:highlight w:val="none"/>
        </w:rPr>
        <w:t>，</w:t>
      </w:r>
      <w:r>
        <w:rPr>
          <w:rFonts w:hint="eastAsia" w:ascii="仿宋_GB2312" w:hAnsi="仿宋_GB2312" w:eastAsia="仿宋_GB2312" w:cs="仿宋_GB2312"/>
          <w:color w:val="auto"/>
          <w:highlight w:val="none"/>
        </w:rPr>
        <w:t>推动零售商业设施“一店一策”场景化改造示范项目不低于20个</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以示范项目带动全市零售业商业设施创新提升。根据项目所处城市区位，综合考虑国土空间总体规划、核心发展板块规划、夜间经济规划布局等，制定“一店一策”场景化改造方案。</w:t>
      </w:r>
    </w:p>
    <w:p>
      <w:pPr>
        <w:keepNext w:val="0"/>
        <w:keepLines w:val="0"/>
        <w:pageBreakBefore w:val="0"/>
        <w:kinsoku/>
        <w:wordWrap/>
        <w:overflowPunct/>
        <w:topLinePunct w:val="0"/>
        <w:autoSpaceDE/>
        <w:autoSpaceDN/>
        <w:bidi w:val="0"/>
        <w:spacing w:line="560" w:lineRule="exact"/>
        <w:ind w:firstLine="643"/>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color w:val="auto"/>
          <w:highlight w:val="none"/>
        </w:rPr>
        <w:t>1.实施融合型商业发展行动。</w:t>
      </w:r>
      <w:r>
        <w:rPr>
          <w:rFonts w:hint="eastAsia" w:ascii="仿宋_GB2312" w:hAnsi="仿宋_GB2312" w:eastAsia="仿宋_GB2312" w:cs="仿宋_GB2312"/>
          <w:b w:val="0"/>
          <w:bCs/>
          <w:color w:val="auto"/>
          <w:highlight w:val="none"/>
          <w:lang w:eastAsia="zh-CN"/>
        </w:rPr>
        <w:t>推动业态融合，</w:t>
      </w:r>
      <w:r>
        <w:rPr>
          <w:rFonts w:hint="eastAsia" w:ascii="仿宋_GB2312" w:hAnsi="仿宋_GB2312" w:eastAsia="仿宋_GB2312" w:cs="仿宋_GB2312"/>
          <w:color w:val="auto"/>
          <w:highlight w:val="none"/>
          <w:lang w:eastAsia="zh-CN"/>
        </w:rPr>
        <w:t>鼓励零售与文化、娱乐、体育、健康等领域融合发展，</w:t>
      </w:r>
      <w:r>
        <w:rPr>
          <w:rFonts w:hint="eastAsia" w:ascii="仿宋_GB2312" w:hAnsi="仿宋_GB2312" w:eastAsia="仿宋_GB2312" w:cs="仿宋_GB2312"/>
          <w:color w:val="auto"/>
          <w:highlight w:val="none"/>
        </w:rPr>
        <w:t>打造集购物、餐饮、社交、娱乐于一体的融合型</w:t>
      </w:r>
      <w:r>
        <w:rPr>
          <w:rFonts w:hint="eastAsia" w:ascii="仿宋_GB2312" w:hAnsi="仿宋_GB2312" w:eastAsia="仿宋_GB2312" w:cs="仿宋_GB2312"/>
          <w:color w:val="auto"/>
          <w:highlight w:val="none"/>
          <w:lang w:eastAsia="zh-CN"/>
        </w:rPr>
        <w:t>消费载体</w:t>
      </w:r>
      <w:r>
        <w:rPr>
          <w:rFonts w:hint="eastAsia" w:ascii="仿宋_GB2312" w:hAnsi="仿宋_GB2312" w:eastAsia="仿宋_GB2312" w:cs="仿宋_GB2312"/>
          <w:color w:val="auto"/>
          <w:highlight w:val="none"/>
        </w:rPr>
        <w:t>，满足顾客全方位消费需求。</w:t>
      </w:r>
      <w:r>
        <w:rPr>
          <w:rFonts w:hint="eastAsia" w:ascii="仿宋_GB2312" w:hAnsi="仿宋_GB2312" w:eastAsia="仿宋_GB2312" w:cs="仿宋_GB2312"/>
          <w:color w:val="auto"/>
          <w:highlight w:val="none"/>
          <w:lang w:eastAsia="zh-CN"/>
        </w:rPr>
        <w:t>到2027年</w:t>
      </w:r>
      <w:r>
        <w:rPr>
          <w:rFonts w:hint="eastAsia" w:ascii="仿宋_GB2312" w:hAnsi="仿宋_GB2312" w:eastAsia="仿宋_GB2312" w:cs="仿宋_GB2312"/>
          <w:color w:val="auto"/>
          <w:highlight w:val="none"/>
        </w:rPr>
        <w:t>，打造10000平方米以上购物、餐饮、社交、娱乐等多业态融合型的商业设施150个</w:t>
      </w:r>
      <w:r>
        <w:rPr>
          <w:rFonts w:hint="eastAsia" w:ascii="仿宋_GB2312" w:hAnsi="仿宋_GB2312" w:eastAsia="仿宋_GB2312" w:cs="仿宋_GB2312"/>
          <w:color w:val="auto"/>
          <w:highlight w:val="none"/>
          <w:lang w:eastAsia="zh-CN"/>
        </w:rPr>
        <w:t>。</w:t>
      </w:r>
    </w:p>
    <w:p>
      <w:pPr>
        <w:keepNext w:val="0"/>
        <w:keepLines w:val="0"/>
        <w:pageBreakBefore w:val="0"/>
        <w:widowControl/>
        <w:suppressLineNumbers w:val="0"/>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color w:val="auto"/>
          <w:highlight w:val="none"/>
        </w:rPr>
        <w:t>2.实施时尚型商业发展行动。</w:t>
      </w:r>
      <w:r>
        <w:rPr>
          <w:rFonts w:hint="eastAsia" w:ascii="仿宋_GB2312" w:hAnsi="仿宋_GB2312" w:eastAsia="仿宋_GB2312" w:cs="仿宋_GB2312"/>
          <w:b w:val="0"/>
          <w:bCs/>
          <w:color w:val="auto"/>
          <w:highlight w:val="none"/>
          <w:lang w:eastAsia="zh-CN"/>
        </w:rPr>
        <w:t>着力推进首发经济，举办“1+</w:t>
      </w:r>
      <w:r>
        <w:rPr>
          <w:rFonts w:hint="eastAsia" w:ascii="仿宋_GB2312" w:hAnsi="仿宋_GB2312" w:eastAsia="仿宋_GB2312" w:cs="仿宋_GB2312"/>
          <w:b w:val="0"/>
          <w:bCs/>
          <w:color w:val="auto"/>
          <w:highlight w:val="none"/>
          <w:lang w:val="en-US" w:eastAsia="zh-CN"/>
        </w:rPr>
        <w:t>3+</w:t>
      </w:r>
      <w:r>
        <w:rPr>
          <w:rFonts w:hint="eastAsia" w:ascii="仿宋_GB2312" w:hAnsi="仿宋_GB2312" w:eastAsia="仿宋_GB2312" w:cs="仿宋_GB2312"/>
          <w:b w:val="0"/>
          <w:bCs/>
          <w:color w:val="auto"/>
          <w:highlight w:val="none"/>
          <w:lang w:eastAsia="zh-CN"/>
        </w:rPr>
        <w:t>N”系列首发经济活动，招引知名商业企业在沈设立品牌首店、旗舰</w:t>
      </w:r>
      <w:r>
        <w:rPr>
          <w:rFonts w:hint="eastAsia" w:ascii="仿宋_GB2312" w:hAnsi="仿宋_GB2312" w:eastAsia="仿宋_GB2312" w:cs="仿宋_GB2312"/>
          <w:color w:val="auto"/>
          <w:highlight w:val="none"/>
          <w:lang w:eastAsia="zh-CN"/>
        </w:rPr>
        <w:t>店、体验店；</w:t>
      </w:r>
      <w:r>
        <w:rPr>
          <w:rFonts w:hint="eastAsia" w:ascii="仿宋_GB2312" w:hAnsi="仿宋_GB2312" w:eastAsia="仿宋_GB2312" w:cs="仿宋_GB2312"/>
          <w:color w:val="auto"/>
          <w:highlight w:val="none"/>
          <w:lang w:val="en-US" w:eastAsia="zh-CN"/>
        </w:rPr>
        <w:t>鼓励零售企业与知名品牌合作，推出新品首发、首展、首秀等活动；推动“载体+业态”深度融合，拓展“市场营销+演艺+赛事”多样化创新。到2027年，</w:t>
      </w:r>
      <w:r>
        <w:rPr>
          <w:rFonts w:hint="eastAsia" w:ascii="仿宋_GB2312" w:hAnsi="仿宋_GB2312" w:eastAsia="仿宋_GB2312" w:cs="仿宋_GB2312"/>
          <w:color w:val="auto"/>
          <w:highlight w:val="none"/>
        </w:rPr>
        <w:t>年</w:t>
      </w:r>
      <w:r>
        <w:rPr>
          <w:rFonts w:hint="eastAsia" w:ascii="仿宋_GB2312" w:hAnsi="仿宋_GB2312" w:eastAsia="仿宋_GB2312" w:cs="仿宋_GB2312"/>
          <w:color w:val="auto"/>
          <w:highlight w:val="none"/>
          <w:lang w:val="en-US" w:eastAsia="zh-CN"/>
        </w:rPr>
        <w:t>均</w:t>
      </w:r>
      <w:r>
        <w:rPr>
          <w:rFonts w:hint="eastAsia" w:ascii="仿宋_GB2312" w:hAnsi="仿宋_GB2312" w:eastAsia="仿宋_GB2312" w:cs="仿宋_GB2312"/>
          <w:color w:val="auto"/>
          <w:highlight w:val="none"/>
        </w:rPr>
        <w:t>引入知名</w:t>
      </w:r>
      <w:r>
        <w:rPr>
          <w:rFonts w:hint="eastAsia" w:ascii="仿宋_GB2312" w:hAnsi="仿宋_GB2312" w:eastAsia="仿宋_GB2312" w:cs="仿宋_GB2312"/>
          <w:color w:val="auto"/>
          <w:highlight w:val="none"/>
          <w:lang w:eastAsia="zh-CN"/>
        </w:rPr>
        <w:t>品牌首店</w:t>
      </w:r>
      <w:r>
        <w:rPr>
          <w:rFonts w:hint="eastAsia" w:ascii="仿宋_GB2312" w:hAnsi="仿宋_GB2312" w:eastAsia="仿宋_GB2312" w:cs="仿宋_GB2312"/>
          <w:color w:val="auto"/>
          <w:highlight w:val="none"/>
        </w:rPr>
        <w:t>110个</w:t>
      </w:r>
      <w:r>
        <w:rPr>
          <w:rFonts w:hint="eastAsia" w:ascii="仿宋_GB2312" w:hAnsi="仿宋_GB2312" w:eastAsia="仿宋_GB2312" w:cs="仿宋_GB2312"/>
          <w:color w:val="auto"/>
          <w:highlight w:val="none"/>
          <w:lang w:val="en-US" w:eastAsia="zh-CN"/>
        </w:rPr>
        <w:t>以上</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 xml:space="preserve">   </w:t>
      </w:r>
    </w:p>
    <w:p>
      <w:pPr>
        <w:keepNext w:val="0"/>
        <w:keepLines w:val="0"/>
        <w:pageBreakBefore w:val="0"/>
        <w:kinsoku/>
        <w:wordWrap/>
        <w:overflowPunct/>
        <w:topLinePunct w:val="0"/>
        <w:autoSpaceDE/>
        <w:autoSpaceDN/>
        <w:bidi w:val="0"/>
        <w:spacing w:line="560" w:lineRule="exact"/>
        <w:ind w:firstLine="643"/>
        <w:jc w:val="left"/>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color w:val="auto"/>
          <w:highlight w:val="none"/>
        </w:rPr>
        <w:t>实施策展型商业发展行动。</w:t>
      </w:r>
      <w:r>
        <w:rPr>
          <w:rFonts w:hint="eastAsia" w:ascii="仿宋_GB2312" w:hAnsi="仿宋_GB2312" w:eastAsia="仿宋_GB2312" w:cs="仿宋_GB2312"/>
          <w:b w:val="0"/>
          <w:bCs/>
          <w:color w:val="auto"/>
          <w:highlight w:val="none"/>
          <w:lang w:eastAsia="zh-CN"/>
        </w:rPr>
        <w:t>鼓励零售企业联动既有业态，</w:t>
      </w:r>
      <w:r>
        <w:rPr>
          <w:rFonts w:hint="eastAsia" w:ascii="仿宋_GB2312" w:hAnsi="仿宋_GB2312" w:eastAsia="仿宋_GB2312" w:cs="仿宋_GB2312"/>
          <w:color w:val="auto"/>
          <w:highlight w:val="none"/>
        </w:rPr>
        <w:t>创新</w:t>
      </w:r>
      <w:r>
        <w:rPr>
          <w:rFonts w:hint="eastAsia" w:ascii="仿宋_GB2312" w:hAnsi="仿宋_GB2312" w:eastAsia="仿宋_GB2312" w:cs="仿宋_GB2312"/>
          <w:color w:val="auto"/>
          <w:highlight w:val="none"/>
          <w:lang w:eastAsia="zh-CN"/>
        </w:rPr>
        <w:t>演艺</w:t>
      </w:r>
      <w:r>
        <w:rPr>
          <w:rFonts w:hint="eastAsia" w:ascii="仿宋_GB2312" w:hAnsi="仿宋_GB2312" w:eastAsia="仿宋_GB2312" w:cs="仿宋_GB2312"/>
          <w:color w:val="auto"/>
          <w:highlight w:val="none"/>
        </w:rPr>
        <w:t>、展览、文化、动漫等多元体验场景，</w:t>
      </w:r>
      <w:r>
        <w:rPr>
          <w:rFonts w:hint="eastAsia" w:ascii="仿宋_GB2312" w:hAnsi="仿宋_GB2312" w:eastAsia="仿宋_GB2312" w:cs="仿宋_GB2312"/>
          <w:color w:val="auto"/>
          <w:highlight w:val="none"/>
          <w:lang w:eastAsia="zh-CN"/>
        </w:rPr>
        <w:t>通过整合潮流文化IP、艺术装置与主题活动，</w:t>
      </w:r>
      <w:r>
        <w:rPr>
          <w:rFonts w:hint="eastAsia" w:ascii="仿宋_GB2312" w:hAnsi="仿宋_GB2312" w:eastAsia="仿宋_GB2312" w:cs="仿宋_GB2312"/>
          <w:color w:val="auto"/>
          <w:highlight w:val="none"/>
        </w:rPr>
        <w:t>结合3D投影、全息影像、多点触控、虚拟现实、增强现实等技术</w:t>
      </w:r>
      <w:r>
        <w:rPr>
          <w:rFonts w:hint="eastAsia" w:ascii="仿宋_GB2312" w:hAnsi="仿宋_GB2312" w:eastAsia="仿宋_GB2312" w:cs="仿宋_GB2312"/>
          <w:color w:val="auto"/>
          <w:highlight w:val="none"/>
          <w:lang w:eastAsia="zh-CN"/>
        </w:rPr>
        <w:t>手段打造兼具社交性与文化性的沉浸式消费空间</w:t>
      </w:r>
      <w:r>
        <w:rPr>
          <w:rFonts w:hint="eastAsia" w:ascii="仿宋_GB2312" w:hAnsi="仿宋_GB2312" w:eastAsia="仿宋_GB2312" w:cs="仿宋_GB2312"/>
          <w:color w:val="auto"/>
          <w:highlight w:val="none"/>
        </w:rPr>
        <w:t>，拓宽</w:t>
      </w:r>
      <w:r>
        <w:rPr>
          <w:rFonts w:hint="eastAsia" w:ascii="仿宋_GB2312" w:hAnsi="仿宋_GB2312" w:eastAsia="仿宋_GB2312" w:cs="仿宋_GB2312"/>
          <w:color w:val="auto"/>
          <w:highlight w:val="none"/>
          <w:lang w:eastAsia="zh-CN"/>
        </w:rPr>
        <w:t>体验</w:t>
      </w:r>
      <w:r>
        <w:rPr>
          <w:rFonts w:hint="eastAsia" w:ascii="仿宋_GB2312" w:hAnsi="仿宋_GB2312" w:eastAsia="仿宋_GB2312" w:cs="仿宋_GB2312"/>
          <w:color w:val="auto"/>
          <w:highlight w:val="none"/>
        </w:rPr>
        <w:t>边界</w:t>
      </w:r>
      <w:r>
        <w:rPr>
          <w:rFonts w:hint="eastAsia" w:ascii="仿宋_GB2312" w:hAnsi="仿宋_GB2312" w:eastAsia="仿宋_GB2312" w:cs="仿宋_GB2312"/>
          <w:color w:val="auto"/>
          <w:highlight w:val="none"/>
          <w:lang w:eastAsia="zh-CN"/>
        </w:rPr>
        <w:t>，丰富消费内容，推动商业向品质化、体验化转型。</w:t>
      </w:r>
    </w:p>
    <w:p>
      <w:pPr>
        <w:keepNext w:val="0"/>
        <w:keepLines w:val="0"/>
        <w:pageBreakBefore w:val="0"/>
        <w:kinsoku/>
        <w:wordWrap/>
        <w:overflowPunct/>
        <w:topLinePunct w:val="0"/>
        <w:autoSpaceDE/>
        <w:autoSpaceDN/>
        <w:bidi w:val="0"/>
        <w:spacing w:line="560" w:lineRule="exact"/>
        <w:ind w:firstLine="643"/>
        <w:textAlignment w:val="auto"/>
        <w:rPr>
          <w:rFonts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4.实施主题型商业发展行动。</w:t>
      </w:r>
      <w:r>
        <w:rPr>
          <w:rFonts w:hint="eastAsia" w:ascii="仿宋_GB2312" w:hAnsi="仿宋_GB2312" w:eastAsia="仿宋_GB2312" w:cs="仿宋_GB2312"/>
          <w:color w:val="auto"/>
          <w:highlight w:val="none"/>
          <w:lang w:eastAsia="zh-CN"/>
        </w:rPr>
        <w:t>鼓励“零售</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lang w:eastAsia="zh-CN"/>
        </w:rPr>
        <w:t>”模式，推动企业</w:t>
      </w:r>
      <w:r>
        <w:rPr>
          <w:rFonts w:hint="eastAsia" w:ascii="仿宋_GB2312" w:hAnsi="仿宋_GB2312" w:eastAsia="仿宋_GB2312" w:cs="仿宋_GB2312"/>
          <w:color w:val="auto"/>
          <w:highlight w:val="none"/>
        </w:rPr>
        <w:t>以业态创新为抓手，聚焦“游、学、研、娱”四大核心体验，打造一系列主题鲜明的展览、研学基地及文化IP活动，</w:t>
      </w:r>
      <w:r>
        <w:rPr>
          <w:rFonts w:hint="eastAsia" w:ascii="仿宋_GB2312" w:hAnsi="仿宋_GB2312" w:eastAsia="仿宋_GB2312" w:cs="仿宋_GB2312"/>
          <w:color w:val="auto"/>
          <w:highlight w:val="none"/>
          <w:lang w:eastAsia="zh-CN"/>
        </w:rPr>
        <w:t>实现商业与</w:t>
      </w:r>
      <w:r>
        <w:rPr>
          <w:rFonts w:hint="eastAsia" w:ascii="仿宋_GB2312" w:hAnsi="仿宋_GB2312" w:eastAsia="仿宋_GB2312" w:cs="仿宋_GB2312"/>
          <w:color w:val="auto"/>
          <w:highlight w:val="none"/>
        </w:rPr>
        <w:t>科技、自然、艺术、体育、公园等联动，</w:t>
      </w:r>
      <w:r>
        <w:rPr>
          <w:rFonts w:hint="eastAsia" w:ascii="仿宋_GB2312" w:hAnsi="仿宋_GB2312" w:eastAsia="仿宋_GB2312" w:cs="仿宋_GB2312"/>
          <w:color w:val="auto"/>
          <w:highlight w:val="none"/>
          <w:lang w:eastAsia="zh-CN"/>
        </w:rPr>
        <w:t>通过改造更新，</w:t>
      </w:r>
      <w:r>
        <w:rPr>
          <w:rFonts w:hint="eastAsia" w:ascii="仿宋_GB2312" w:hAnsi="仿宋_GB2312" w:eastAsia="仿宋_GB2312" w:cs="仿宋_GB2312"/>
          <w:color w:val="auto"/>
          <w:highlight w:val="none"/>
        </w:rPr>
        <w:t>营造出独具特色的商业空间，打造亲子互动、学习探索理想场所。</w:t>
      </w:r>
    </w:p>
    <w:p>
      <w:pPr>
        <w:keepNext w:val="0"/>
        <w:keepLines w:val="0"/>
        <w:pageBreakBefore w:val="0"/>
        <w:kinsoku/>
        <w:wordWrap/>
        <w:overflowPunct/>
        <w:topLinePunct w:val="0"/>
        <w:autoSpaceDE/>
        <w:autoSpaceDN/>
        <w:bidi w:val="0"/>
        <w:spacing w:line="560" w:lineRule="exact"/>
        <w:ind w:firstLine="643"/>
        <w:textAlignment w:val="auto"/>
        <w:rPr>
          <w:rFonts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5.实施社区型商业发展行动。</w:t>
      </w:r>
      <w:r>
        <w:rPr>
          <w:rFonts w:hint="eastAsia" w:ascii="仿宋_GB2312" w:hAnsi="仿宋_GB2312" w:eastAsia="仿宋_GB2312" w:cs="仿宋_GB2312"/>
          <w:color w:val="auto"/>
          <w:highlight w:val="none"/>
        </w:rPr>
        <w:t>依托一刻钟便民生活圈建设完善社区型商业，</w:t>
      </w:r>
      <w:r>
        <w:rPr>
          <w:rFonts w:hint="eastAsia" w:ascii="仿宋_GB2312" w:hAnsi="仿宋_GB2312" w:eastAsia="仿宋_GB2312" w:cs="仿宋_GB2312"/>
          <w:color w:val="auto"/>
          <w:highlight w:val="none"/>
          <w:lang w:eastAsia="zh-CN"/>
        </w:rPr>
        <w:t>引导邻近居民区的传统商场向</w:t>
      </w:r>
      <w:r>
        <w:rPr>
          <w:rFonts w:hint="eastAsia" w:ascii="仿宋_GB2312" w:hAnsi="仿宋_GB2312" w:eastAsia="仿宋_GB2312" w:cs="仿宋_GB2312"/>
          <w:color w:val="auto"/>
          <w:highlight w:val="none"/>
        </w:rPr>
        <w:t>社区型购物中心、便民商业中心</w:t>
      </w:r>
      <w:r>
        <w:rPr>
          <w:rFonts w:hint="eastAsia" w:ascii="仿宋_GB2312" w:hAnsi="仿宋_GB2312" w:eastAsia="仿宋_GB2312" w:cs="仿宋_GB2312"/>
          <w:color w:val="auto"/>
          <w:highlight w:val="none"/>
          <w:lang w:eastAsia="zh-CN"/>
        </w:rPr>
        <w:t>转型。</w:t>
      </w:r>
      <w:r>
        <w:rPr>
          <w:rFonts w:hint="eastAsia" w:ascii="仿宋_GB2312" w:hAnsi="仿宋_GB2312" w:eastAsia="仿宋_GB2312" w:cs="仿宋_GB2312"/>
          <w:color w:val="auto"/>
          <w:highlight w:val="none"/>
        </w:rPr>
        <w:t>丰富基本保障类业态，完善</w:t>
      </w:r>
      <w:r>
        <w:rPr>
          <w:rFonts w:hint="eastAsia" w:ascii="仿宋_GB2312" w:hAnsi="仿宋_GB2312" w:eastAsia="仿宋_GB2312" w:cs="仿宋_GB2312"/>
          <w:color w:val="auto"/>
          <w:highlight w:val="none"/>
          <w:lang w:eastAsia="zh-CN"/>
        </w:rPr>
        <w:t>品质提升类业态，</w:t>
      </w:r>
      <w:r>
        <w:rPr>
          <w:rFonts w:hint="eastAsia" w:ascii="仿宋_GB2312" w:hAnsi="仿宋_GB2312" w:eastAsia="仿宋_GB2312" w:cs="仿宋_GB2312"/>
          <w:color w:val="auto"/>
          <w:highlight w:val="none"/>
        </w:rPr>
        <w:t>推进完善社区建设，加强适老化、适幼化改造，保障基础服务水平。</w:t>
      </w:r>
      <w:r>
        <w:rPr>
          <w:rFonts w:hint="eastAsia" w:ascii="仿宋_GB2312" w:hAnsi="仿宋_GB2312" w:eastAsia="仿宋_GB2312" w:cs="仿宋_GB2312"/>
          <w:color w:val="auto"/>
          <w:highlight w:val="none"/>
          <w:lang w:eastAsia="zh-CN"/>
        </w:rPr>
        <w:t>到</w:t>
      </w:r>
      <w:r>
        <w:rPr>
          <w:rFonts w:hint="eastAsia" w:ascii="仿宋_GB2312" w:hAnsi="仿宋_GB2312" w:eastAsia="仿宋_GB2312" w:cs="仿宋_GB2312"/>
          <w:color w:val="auto"/>
          <w:highlight w:val="none"/>
        </w:rPr>
        <w:t>202</w:t>
      </w:r>
      <w:r>
        <w:rPr>
          <w:rFonts w:hint="eastAsia" w:ascii="仿宋_GB2312" w:hAnsi="仿宋_GB2312" w:eastAsia="仿宋_GB2312" w:cs="仿宋_GB2312"/>
          <w:color w:val="auto"/>
          <w:highlight w:val="none"/>
          <w:lang w:val="en-US" w:eastAsia="zh-CN"/>
        </w:rPr>
        <w:t>7</w:t>
      </w:r>
      <w:r>
        <w:rPr>
          <w:rFonts w:hint="eastAsia" w:ascii="仿宋_GB2312" w:hAnsi="仿宋_GB2312" w:eastAsia="仿宋_GB2312" w:cs="仿宋_GB2312"/>
          <w:color w:val="auto"/>
          <w:highlight w:val="none"/>
        </w:rPr>
        <w:t>年</w:t>
      </w:r>
      <w:r>
        <w:rPr>
          <w:rFonts w:hint="eastAsia" w:ascii="仿宋_GB2312" w:hAnsi="仿宋_GB2312" w:cs="仿宋_GB2312" w:eastAsiaTheme="minorEastAsia"/>
          <w:color w:val="auto"/>
          <w:highlight w:val="none"/>
        </w:rPr>
        <w:t>，</w:t>
      </w:r>
      <w:r>
        <w:rPr>
          <w:rFonts w:hint="eastAsia" w:ascii="仿宋_GB2312" w:hAnsi="仿宋_GB2312" w:eastAsia="仿宋_GB2312" w:cs="仿宋_GB2312"/>
          <w:color w:val="auto"/>
          <w:highlight w:val="none"/>
        </w:rPr>
        <w:t>一刻钟便民生活圈主城区全覆盖，发展“一店多能”便利店2000个。</w:t>
      </w:r>
    </w:p>
    <w:p>
      <w:pPr>
        <w:pStyle w:val="53"/>
        <w:keepNext w:val="0"/>
        <w:keepLines w:val="0"/>
        <w:pageBreakBefore w:val="0"/>
        <w:kinsoku/>
        <w:wordWrap/>
        <w:overflowPunct/>
        <w:topLinePunct w:val="0"/>
        <w:autoSpaceDE/>
        <w:autoSpaceDN/>
        <w:bidi w:val="0"/>
        <w:spacing w:line="560" w:lineRule="exact"/>
        <w:ind w:firstLine="643"/>
        <w:textAlignment w:val="auto"/>
        <w:rPr>
          <w:rFonts w:ascii="仿宋_GB2312" w:hAnsi="仿宋_GB2312"/>
          <w:color w:val="auto"/>
          <w:highlight w:val="none"/>
        </w:rPr>
      </w:pPr>
      <w:r>
        <w:rPr>
          <w:rFonts w:hint="eastAsia" w:ascii="仿宋_GB2312" w:hAnsi="仿宋_GB2312"/>
          <w:color w:val="auto"/>
          <w:highlight w:val="none"/>
        </w:rPr>
        <w:t>（二）品质化供给提升工程</w:t>
      </w:r>
    </w:p>
    <w:p>
      <w:pPr>
        <w:keepNext w:val="0"/>
        <w:keepLines w:val="0"/>
        <w:pageBreakBefore w:val="0"/>
        <w:kinsoku/>
        <w:wordWrap/>
        <w:overflowPunct/>
        <w:topLinePunct w:val="0"/>
        <w:autoSpaceDE/>
        <w:autoSpaceDN/>
        <w:bidi w:val="0"/>
        <w:spacing w:line="560" w:lineRule="exact"/>
        <w:ind w:firstLine="643"/>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color w:val="auto"/>
          <w:sz w:val="32"/>
          <w:highlight w:val="none"/>
          <w:lang w:val="en-US" w:eastAsia="zh-CN"/>
        </w:rPr>
        <w:t>6</w:t>
      </w:r>
      <w:r>
        <w:rPr>
          <w:rFonts w:ascii="仿宋_GB2312" w:hAnsi="仿宋_GB2312" w:eastAsia="仿宋_GB2312" w:cs="仿宋_GB2312"/>
          <w:b/>
          <w:color w:val="auto"/>
          <w:sz w:val="32"/>
          <w:highlight w:val="none"/>
        </w:rPr>
        <w:t>.实施“老字号”创新发展行动。</w:t>
      </w:r>
      <w:r>
        <w:rPr>
          <w:rFonts w:hint="eastAsia" w:ascii="仿宋_GB2312" w:hAnsi="仿宋_GB2312" w:eastAsia="仿宋_GB2312" w:cs="仿宋_GB2312"/>
          <w:b w:val="0"/>
          <w:bCs/>
          <w:color w:val="auto"/>
          <w:sz w:val="32"/>
          <w:highlight w:val="none"/>
          <w:lang w:val="en-US" w:eastAsia="zh-CN"/>
        </w:rPr>
        <w:t>建立健全老字号保护传承和创新发展机制，积极开展老字号企业认定，加快建设“沈阳老字号”品牌，引导老字号推出国潮新品</w:t>
      </w:r>
      <w:r>
        <w:rPr>
          <w:rFonts w:hint="eastAsia" w:ascii="仿宋_GB2312" w:hAnsi="仿宋_GB2312" w:eastAsia="仿宋_GB2312" w:cs="仿宋_GB2312"/>
          <w:b w:val="0"/>
          <w:bCs/>
          <w:color w:val="auto"/>
          <w:sz w:val="32"/>
          <w:highlight w:val="none"/>
        </w:rPr>
        <w:t>，发挥老字号品牌消费示范作用。</w:t>
      </w:r>
      <w:r>
        <w:rPr>
          <w:rFonts w:hint="eastAsia" w:ascii="仿宋_GB2312" w:hAnsi="仿宋_GB2312" w:eastAsia="仿宋_GB2312" w:cs="仿宋_GB2312"/>
          <w:color w:val="auto"/>
          <w:sz w:val="32"/>
          <w:highlight w:val="none"/>
        </w:rPr>
        <w:t>到2027年，累计培育“中华老字号”品牌不少于19个，“辽宁老字号”不少于50个，我市老字号品牌总数</w:t>
      </w:r>
      <w:r>
        <w:rPr>
          <w:rFonts w:hint="eastAsia" w:ascii="仿宋_GB2312" w:hAnsi="仿宋_GB2312" w:eastAsia="仿宋_GB2312" w:cs="仿宋_GB2312"/>
          <w:color w:val="auto"/>
          <w:highlight w:val="none"/>
        </w:rPr>
        <w:t>不少于</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0个。</w:t>
      </w:r>
    </w:p>
    <w:p>
      <w:pPr>
        <w:keepNext w:val="0"/>
        <w:keepLines w:val="0"/>
        <w:pageBreakBefore w:val="0"/>
        <w:kinsoku/>
        <w:wordWrap/>
        <w:overflowPunct/>
        <w:topLinePunct w:val="0"/>
        <w:autoSpaceDE/>
        <w:autoSpaceDN/>
        <w:bidi w:val="0"/>
        <w:spacing w:line="560" w:lineRule="exact"/>
        <w:ind w:firstLine="643"/>
        <w:textAlignment w:val="auto"/>
        <w:rPr>
          <w:rFonts w:ascii="仿宋_GB2312" w:hAnsi="仿宋_GB2312" w:eastAsia="仿宋_GB2312" w:cs="仿宋_GB2312"/>
          <w:color w:val="auto"/>
          <w:highlight w:val="none"/>
        </w:rPr>
      </w:pPr>
      <w:r>
        <w:rPr>
          <w:rFonts w:hint="eastAsia" w:ascii="仿宋_GB2312" w:hAnsi="仿宋_GB2312" w:eastAsia="仿宋_GB2312" w:cs="仿宋_GB2312"/>
          <w:b/>
          <w:color w:val="auto"/>
          <w:highlight w:val="none"/>
          <w:lang w:val="en-US" w:eastAsia="zh-CN"/>
        </w:rPr>
        <w:t>7</w:t>
      </w:r>
      <w:r>
        <w:rPr>
          <w:rFonts w:ascii="仿宋_GB2312" w:hAnsi="仿宋_GB2312" w:eastAsia="仿宋_GB2312" w:cs="仿宋_GB2312"/>
          <w:b/>
          <w:color w:val="auto"/>
          <w:highlight w:val="none"/>
        </w:rPr>
        <w:t>.实施消费品以旧换新扩围行动。</w:t>
      </w:r>
      <w:r>
        <w:rPr>
          <w:rFonts w:hint="eastAsia" w:ascii="仿宋_GB2312" w:hAnsi="仿宋_GB2312" w:eastAsia="仿宋_GB2312" w:cs="仿宋_GB2312"/>
          <w:b w:val="0"/>
          <w:bCs/>
          <w:color w:val="auto"/>
          <w:highlight w:val="none"/>
        </w:rPr>
        <w:t>用好汽车、家电、电子产品、</w:t>
      </w:r>
      <w:r>
        <w:rPr>
          <w:rFonts w:hint="eastAsia" w:ascii="仿宋_GB2312" w:hAnsi="仿宋_GB2312" w:eastAsia="仿宋_GB2312" w:cs="仿宋_GB2312"/>
          <w:b w:val="0"/>
          <w:bCs/>
          <w:color w:val="auto"/>
          <w:highlight w:val="none"/>
          <w:lang w:eastAsia="zh-CN"/>
        </w:rPr>
        <w:t>家装厨卫</w:t>
      </w:r>
      <w:r>
        <w:rPr>
          <w:rFonts w:hint="eastAsia" w:ascii="仿宋_GB2312" w:hAnsi="仿宋_GB2312" w:eastAsia="仿宋_GB2312" w:cs="仿宋_GB2312"/>
          <w:b w:val="0"/>
          <w:bCs/>
          <w:color w:val="auto"/>
          <w:highlight w:val="none"/>
        </w:rPr>
        <w:t>、电动自行车等消费品以旧换新加力扩围政策，</w:t>
      </w:r>
      <w:r>
        <w:rPr>
          <w:rFonts w:hint="eastAsia" w:ascii="仿宋_GB2312" w:hAnsi="仿宋_GB2312" w:eastAsia="仿宋_GB2312" w:cs="仿宋_GB2312"/>
          <w:color w:val="auto"/>
          <w:highlight w:val="none"/>
        </w:rPr>
        <w:t>进一步优化资格申请、结算支付、审计工作流程</w:t>
      </w:r>
      <w:r>
        <w:rPr>
          <w:rFonts w:ascii="仿宋_GB2312" w:hAnsi="仿宋_GB2312" w:eastAsia="仿宋_GB2312" w:cs="仿宋_GB2312"/>
          <w:color w:val="auto"/>
          <w:highlight w:val="none"/>
        </w:rPr>
        <w:t>，推动市场主体提质扩容，有效支撑社会商品消费持续增长。</w:t>
      </w:r>
      <w:r>
        <w:rPr>
          <w:rFonts w:hint="eastAsia" w:ascii="仿宋_GB2312" w:hAnsi="仿宋_GB2312" w:eastAsia="仿宋_GB2312" w:cs="仿宋_GB2312"/>
          <w:color w:val="auto"/>
          <w:highlight w:val="none"/>
        </w:rPr>
        <w:t>针对需求较大的产品采用“地方补贴+</w:t>
      </w:r>
      <w:r>
        <w:rPr>
          <w:rFonts w:hint="eastAsia" w:ascii="仿宋_GB2312" w:hAnsi="仿宋_GB2312" w:eastAsia="仿宋_GB2312" w:cs="仿宋_GB2312"/>
          <w:color w:val="auto"/>
          <w:highlight w:val="none"/>
          <w:lang w:eastAsia="zh-CN"/>
        </w:rPr>
        <w:t>金融助力</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rPr>
        <w:t>商家让利”的方式，拓宽补贴范围，激发更大消费潜力。</w:t>
      </w:r>
    </w:p>
    <w:p>
      <w:pPr>
        <w:keepNext w:val="0"/>
        <w:keepLines w:val="0"/>
        <w:pageBreakBefore w:val="0"/>
        <w:kinsoku/>
        <w:wordWrap/>
        <w:overflowPunct/>
        <w:topLinePunct w:val="0"/>
        <w:autoSpaceDE/>
        <w:autoSpaceDN/>
        <w:bidi w:val="0"/>
        <w:spacing w:line="560" w:lineRule="exact"/>
        <w:ind w:firstLine="643"/>
        <w:textAlignment w:val="auto"/>
        <w:rPr>
          <w:rFonts w:ascii="仿宋_GB2312" w:hAnsi="仿宋_GB2312" w:eastAsia="仿宋_GB2312" w:cs="仿宋_GB2312"/>
          <w:color w:val="auto"/>
          <w:highlight w:val="none"/>
          <w:shd w:val="clear" w:color="auto" w:fill="FFFFFF"/>
        </w:rPr>
      </w:pPr>
      <w:r>
        <w:rPr>
          <w:rFonts w:hint="eastAsia" w:ascii="仿宋_GB2312" w:hAnsi="仿宋_GB2312" w:eastAsia="仿宋_GB2312" w:cs="仿宋_GB2312"/>
          <w:b/>
          <w:color w:val="auto"/>
          <w:highlight w:val="none"/>
          <w:lang w:val="en-US" w:eastAsia="zh-CN"/>
        </w:rPr>
        <w:t>8</w:t>
      </w:r>
      <w:r>
        <w:rPr>
          <w:rFonts w:ascii="仿宋_GB2312" w:hAnsi="仿宋_GB2312" w:eastAsia="仿宋_GB2312" w:cs="仿宋_GB2312"/>
          <w:b/>
          <w:color w:val="auto"/>
          <w:highlight w:val="none"/>
        </w:rPr>
        <w:t>.实施进口商品优化行动。</w:t>
      </w:r>
      <w:r>
        <w:rPr>
          <w:rFonts w:hint="eastAsia" w:ascii="仿宋_GB2312" w:hAnsi="仿宋_GB2312" w:eastAsia="仿宋_GB2312" w:cs="仿宋_GB2312"/>
          <w:color w:val="auto"/>
          <w:highlight w:val="none"/>
        </w:rPr>
        <w:t>推动内外贸一体化，提升消费水平，</w:t>
      </w:r>
      <w:r>
        <w:rPr>
          <w:rFonts w:hint="eastAsia" w:ascii="仿宋_GB2312" w:hAnsi="仿宋_GB2312" w:eastAsia="仿宋_GB2312" w:cs="仿宋_GB2312"/>
          <w:color w:val="auto"/>
          <w:highlight w:val="none"/>
          <w:lang w:eastAsia="zh-CN"/>
        </w:rPr>
        <w:t>积极开展</w:t>
      </w:r>
      <w:r>
        <w:rPr>
          <w:rFonts w:hint="eastAsia" w:ascii="仿宋_GB2312" w:hAnsi="仿宋_GB2312" w:eastAsia="仿宋_GB2312" w:cs="仿宋_GB2312"/>
          <w:color w:val="auto"/>
          <w:highlight w:val="none"/>
        </w:rPr>
        <w:t>俄罗斯食品文化周、沈阳国际啤酒节、中韩美食节等</w:t>
      </w:r>
      <w:r>
        <w:rPr>
          <w:rFonts w:hint="eastAsia" w:ascii="仿宋_GB2312" w:hAnsi="仿宋_GB2312" w:eastAsia="仿宋_GB2312" w:cs="仿宋_GB2312"/>
          <w:color w:val="auto"/>
          <w:highlight w:val="none"/>
          <w:lang w:eastAsia="zh-CN"/>
        </w:rPr>
        <w:t>促消费活动</w:t>
      </w:r>
      <w:r>
        <w:rPr>
          <w:rFonts w:hint="eastAsia" w:ascii="仿宋_GB2312" w:hAnsi="仿宋_GB2312" w:eastAsia="仿宋_GB2312" w:cs="仿宋_GB2312"/>
          <w:color w:val="auto"/>
          <w:highlight w:val="none"/>
        </w:rPr>
        <w:t>，拓展市场布局，深挖进口潜力，推动零售业态发展。加强跨境电商综试区建设，支持跨境电商龙头企业规模化发展，鼓励建设跨境电商线下体验店，打造区域跨境电商进出口商品集散中心，跨境电商业务单量突破</w:t>
      </w:r>
      <w:r>
        <w:rPr>
          <w:rFonts w:ascii="仿宋_GB2312" w:hAnsi="仿宋_GB2312" w:eastAsia="仿宋_GB2312" w:cs="仿宋_GB2312"/>
          <w:color w:val="auto"/>
          <w:highlight w:val="none"/>
        </w:rPr>
        <w:t>950万单。</w:t>
      </w:r>
    </w:p>
    <w:p>
      <w:pPr>
        <w:pStyle w:val="53"/>
        <w:keepNext w:val="0"/>
        <w:keepLines w:val="0"/>
        <w:pageBreakBefore w:val="0"/>
        <w:kinsoku/>
        <w:wordWrap/>
        <w:overflowPunct/>
        <w:topLinePunct w:val="0"/>
        <w:autoSpaceDE/>
        <w:autoSpaceDN/>
        <w:bidi w:val="0"/>
        <w:spacing w:line="560" w:lineRule="exact"/>
        <w:ind w:firstLine="643"/>
        <w:textAlignment w:val="auto"/>
        <w:rPr>
          <w:rFonts w:ascii="仿宋_GB2312" w:hAnsi="仿宋_GB2312"/>
          <w:color w:val="auto"/>
          <w:highlight w:val="none"/>
        </w:rPr>
      </w:pPr>
      <w:r>
        <w:rPr>
          <w:rFonts w:hint="eastAsia" w:ascii="仿宋_GB2312" w:hAnsi="仿宋_GB2312"/>
          <w:color w:val="auto"/>
          <w:highlight w:val="none"/>
        </w:rPr>
        <w:t>（三）数字化赋能提升工程</w:t>
      </w:r>
    </w:p>
    <w:p>
      <w:pPr>
        <w:keepNext w:val="0"/>
        <w:keepLines w:val="0"/>
        <w:pageBreakBefore w:val="0"/>
        <w:kinsoku/>
        <w:wordWrap/>
        <w:overflowPunct/>
        <w:topLinePunct w:val="0"/>
        <w:autoSpaceDE/>
        <w:autoSpaceDN/>
        <w:bidi w:val="0"/>
        <w:spacing w:line="560" w:lineRule="exact"/>
        <w:ind w:firstLine="643"/>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lang w:val="en-US" w:eastAsia="zh-CN"/>
        </w:rPr>
        <w:t>9</w:t>
      </w:r>
      <w:r>
        <w:rPr>
          <w:rFonts w:ascii="仿宋_GB2312" w:hAnsi="仿宋_GB2312" w:eastAsia="仿宋_GB2312" w:cs="仿宋_GB2312"/>
          <w:b/>
          <w:bCs/>
          <w:color w:val="auto"/>
          <w:highlight w:val="none"/>
        </w:rPr>
        <w:t>.实施“互联网+”行动。</w:t>
      </w:r>
      <w:r>
        <w:rPr>
          <w:rFonts w:hint="eastAsia" w:ascii="仿宋_GB2312" w:hAnsi="仿宋_GB2312" w:eastAsia="仿宋_GB2312" w:cs="仿宋_GB2312"/>
          <w:color w:val="auto"/>
          <w:highlight w:val="none"/>
        </w:rPr>
        <w:t>实体零售与数字经济深度融合</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color w:val="auto"/>
          <w:highlight w:val="none"/>
        </w:rPr>
        <w:t>鼓励引入互联网技术，</w:t>
      </w:r>
      <w:r>
        <w:rPr>
          <w:rFonts w:hint="eastAsia" w:ascii="仿宋_GB2312" w:hAnsi="仿宋_GB2312" w:eastAsia="仿宋_GB2312" w:cs="仿宋_GB2312"/>
          <w:color w:val="auto"/>
          <w:highlight w:val="none"/>
          <w:lang w:eastAsia="zh-CN"/>
        </w:rPr>
        <w:t>数字化赋能实体零售</w:t>
      </w:r>
      <w:r>
        <w:rPr>
          <w:rFonts w:hint="eastAsia" w:ascii="仿宋_GB2312" w:hAnsi="仿宋_GB2312" w:eastAsia="仿宋_GB2312" w:cs="仿宋_GB2312"/>
          <w:color w:val="auto"/>
          <w:highlight w:val="none"/>
        </w:rPr>
        <w:t>。</w:t>
      </w:r>
      <w:r>
        <w:rPr>
          <w:rFonts w:ascii="仿宋_GB2312" w:hAnsi="仿宋_GB2312" w:eastAsia="仿宋_GB2312" w:cs="仿宋_GB2312"/>
          <w:color w:val="auto"/>
          <w:highlight w:val="none"/>
        </w:rPr>
        <w:t>鼓励</w:t>
      </w:r>
      <w:r>
        <w:rPr>
          <w:rFonts w:hint="eastAsia" w:ascii="仿宋_GB2312" w:hAnsi="仿宋_GB2312" w:eastAsia="仿宋_GB2312" w:cs="仿宋_GB2312"/>
          <w:color w:val="auto"/>
          <w:highlight w:val="none"/>
          <w:lang w:eastAsia="zh-CN"/>
        </w:rPr>
        <w:t>电商平台</w:t>
      </w:r>
      <w:r>
        <w:rPr>
          <w:rFonts w:ascii="仿宋_GB2312" w:hAnsi="仿宋_GB2312" w:eastAsia="仿宋_GB2312" w:cs="仿宋_GB2312"/>
          <w:color w:val="auto"/>
          <w:highlight w:val="none"/>
        </w:rPr>
        <w:t>在沈做强总部，</w:t>
      </w:r>
      <w:r>
        <w:rPr>
          <w:rFonts w:hint="eastAsia" w:ascii="仿宋_GB2312" w:hAnsi="仿宋_GB2312" w:eastAsia="仿宋_GB2312" w:cs="仿宋_GB2312"/>
          <w:color w:val="auto"/>
          <w:highlight w:val="none"/>
          <w:lang w:eastAsia="zh-CN"/>
        </w:rPr>
        <w:t>拓展线下体验店，</w:t>
      </w:r>
      <w:r>
        <w:rPr>
          <w:rFonts w:ascii="仿宋_GB2312" w:hAnsi="仿宋_GB2312" w:eastAsia="仿宋_GB2312" w:cs="仿宋_GB2312"/>
          <w:color w:val="auto"/>
          <w:highlight w:val="none"/>
        </w:rPr>
        <w:t>促进扩大消费。支持发展直播电商，鼓励建设“一站式”直播电商基地。</w:t>
      </w:r>
      <w:r>
        <w:rPr>
          <w:rFonts w:hint="eastAsia" w:ascii="仿宋_GB2312" w:hAnsi="仿宋_GB2312" w:eastAsia="仿宋_GB2312" w:cs="仿宋_GB2312"/>
          <w:color w:val="auto"/>
          <w:highlight w:val="none"/>
          <w:lang w:eastAsia="zh-CN"/>
        </w:rPr>
        <w:t>到2027年</w:t>
      </w:r>
      <w:r>
        <w:rPr>
          <w:rFonts w:hint="eastAsia" w:ascii="仿宋_GB2312" w:hAnsi="仿宋_GB2312" w:eastAsia="仿宋_GB2312" w:cs="仿宋_GB2312"/>
          <w:color w:val="auto"/>
          <w:highlight w:val="none"/>
        </w:rPr>
        <w:t>，全市限上网上商品零售额年均增长</w:t>
      </w:r>
      <w:r>
        <w:rPr>
          <w:rFonts w:ascii="仿宋_GB2312" w:hAnsi="仿宋_GB2312" w:eastAsia="仿宋_GB2312" w:cs="仿宋_GB2312"/>
          <w:color w:val="auto"/>
          <w:highlight w:val="none"/>
        </w:rPr>
        <w:t>5%以上</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限额以上单位实物商品网络零售额突破600亿元，占限上社会消费品零售总额比例达到27%</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网络经营零售商家超1万家，培育网络零售年销售额超亿元10家。</w:t>
      </w:r>
    </w:p>
    <w:p>
      <w:pPr>
        <w:keepNext w:val="0"/>
        <w:keepLines w:val="0"/>
        <w:pageBreakBefore w:val="0"/>
        <w:kinsoku/>
        <w:wordWrap/>
        <w:overflowPunct/>
        <w:topLinePunct w:val="0"/>
        <w:autoSpaceDE/>
        <w:autoSpaceDN/>
        <w:bidi w:val="0"/>
        <w:spacing w:line="560" w:lineRule="exact"/>
        <w:ind w:firstLine="643"/>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lang w:val="en-US" w:eastAsia="zh-CN"/>
        </w:rPr>
        <w:t>10</w:t>
      </w:r>
      <w:r>
        <w:rPr>
          <w:rFonts w:ascii="仿宋_GB2312" w:hAnsi="仿宋_GB2312" w:eastAsia="仿宋_GB2312" w:cs="仿宋_GB2312"/>
          <w:b/>
          <w:bCs/>
          <w:color w:val="auto"/>
          <w:highlight w:val="none"/>
        </w:rPr>
        <w:t>.实施城市智慧商圈建设行动。</w:t>
      </w:r>
      <w:r>
        <w:rPr>
          <w:rFonts w:hint="eastAsia" w:ascii="仿宋_GB2312" w:hAnsi="仿宋_GB2312" w:eastAsia="仿宋_GB2312" w:cs="仿宋_GB2312"/>
          <w:b w:val="0"/>
          <w:bCs w:val="0"/>
          <w:color w:val="auto"/>
          <w:highlight w:val="none"/>
          <w:lang w:val="en-US" w:eastAsia="zh-CN"/>
        </w:rPr>
        <w:t>支持</w:t>
      </w:r>
      <w:r>
        <w:rPr>
          <w:rFonts w:hint="eastAsia" w:ascii="仿宋_GB2312" w:hAnsi="仿宋_GB2312" w:eastAsia="仿宋_GB2312" w:cs="仿宋_GB2312"/>
          <w:color w:val="auto"/>
          <w:highlight w:val="none"/>
        </w:rPr>
        <w:t>中街-皇城</w:t>
      </w:r>
      <w:r>
        <w:rPr>
          <w:rFonts w:ascii="仿宋_GB2312" w:hAnsi="仿宋_GB2312" w:eastAsia="仿宋_GB2312" w:cs="仿宋_GB2312"/>
          <w:color w:val="auto"/>
          <w:highlight w:val="none"/>
        </w:rPr>
        <w:t>千亿级国际商圈改造提升</w:t>
      </w:r>
      <w:r>
        <w:rPr>
          <w:rFonts w:hint="eastAsia"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rPr>
        <w:t>打造浑南国际消费体验商圈。</w:t>
      </w:r>
      <w:r>
        <w:rPr>
          <w:rFonts w:hint="eastAsia" w:ascii="仿宋_GB2312" w:hAnsi="仿宋_GB2312" w:eastAsia="仿宋_GB2312" w:cs="仿宋_GB2312"/>
          <w:b w:val="0"/>
          <w:bCs w:val="0"/>
          <w:color w:val="auto"/>
          <w:highlight w:val="none"/>
          <w:lang w:eastAsia="zh-CN"/>
        </w:rPr>
        <w:t>加快传统商圈智慧化升级改造，利用互联网技术、大数据和移动支付，</w:t>
      </w:r>
      <w:r>
        <w:rPr>
          <w:rFonts w:hint="eastAsia" w:ascii="仿宋_GB2312" w:hAnsi="仿宋_GB2312" w:eastAsia="仿宋_GB2312" w:cs="仿宋_GB2312"/>
          <w:color w:val="auto"/>
          <w:highlight w:val="none"/>
        </w:rPr>
        <w:t>丰富商圈服务内容，促进服务便利化</w:t>
      </w:r>
      <w:r>
        <w:rPr>
          <w:rFonts w:hint="eastAsia" w:ascii="仿宋_GB2312" w:hAnsi="仿宋_GB2312" w:eastAsia="仿宋_GB2312" w:cs="仿宋_GB2312"/>
          <w:color w:val="auto"/>
          <w:highlight w:val="none"/>
          <w:lang w:eastAsia="zh-CN"/>
        </w:rPr>
        <w:t>，到2027年</w:t>
      </w:r>
      <w:r>
        <w:rPr>
          <w:rFonts w:hint="eastAsia" w:ascii="仿宋_GB2312" w:hAnsi="仿宋_GB2312" w:eastAsia="仿宋_GB2312" w:cs="仿宋_GB2312"/>
          <w:color w:val="auto"/>
          <w:highlight w:val="none"/>
        </w:rPr>
        <w:t>推动</w:t>
      </w:r>
      <w:r>
        <w:rPr>
          <w:rFonts w:ascii="仿宋_GB2312" w:hAnsi="仿宋_GB2312" w:eastAsia="仿宋_GB2312" w:cs="仿宋_GB2312"/>
          <w:color w:val="auto"/>
          <w:highlight w:val="none"/>
        </w:rPr>
        <w:t>10</w:t>
      </w:r>
      <w:r>
        <w:rPr>
          <w:rFonts w:hint="eastAsia" w:ascii="仿宋_GB2312" w:hAnsi="仿宋_GB2312" w:eastAsia="仿宋_GB2312" w:cs="仿宋_GB2312"/>
          <w:color w:val="auto"/>
          <w:highlight w:val="none"/>
        </w:rPr>
        <w:t>个核心商圈、45个特色商业街区改造升级，培育形成2个以上国内外知名商圈，10条以上国家、省、市级特色商业街区</w:t>
      </w:r>
      <w:r>
        <w:rPr>
          <w:rFonts w:hint="eastAsia" w:ascii="仿宋_GB2312" w:hAnsi="仿宋_GB2312" w:eastAsia="仿宋_GB2312" w:cs="仿宋_GB2312"/>
          <w:color w:val="auto"/>
          <w:highlight w:val="none"/>
          <w:lang w:eastAsia="zh-CN"/>
        </w:rPr>
        <w:t>。</w:t>
      </w:r>
    </w:p>
    <w:p>
      <w:pPr>
        <w:pStyle w:val="53"/>
        <w:keepNext w:val="0"/>
        <w:keepLines w:val="0"/>
        <w:pageBreakBefore w:val="0"/>
        <w:kinsoku/>
        <w:wordWrap/>
        <w:overflowPunct/>
        <w:topLinePunct w:val="0"/>
        <w:autoSpaceDE/>
        <w:autoSpaceDN/>
        <w:bidi w:val="0"/>
        <w:spacing w:line="560" w:lineRule="exact"/>
        <w:ind w:firstLine="643"/>
        <w:textAlignment w:val="auto"/>
        <w:rPr>
          <w:rFonts w:ascii="仿宋_GB2312" w:hAnsi="仿宋_GB2312"/>
          <w:color w:val="auto"/>
          <w:highlight w:val="none"/>
        </w:rPr>
      </w:pPr>
      <w:r>
        <w:rPr>
          <w:rFonts w:hint="eastAsia" w:ascii="仿宋_GB2312" w:hAnsi="仿宋_GB2312"/>
          <w:color w:val="auto"/>
          <w:highlight w:val="none"/>
        </w:rPr>
        <w:t>（四）多元化创新提升工程</w:t>
      </w:r>
    </w:p>
    <w:p>
      <w:pPr>
        <w:keepNext w:val="0"/>
        <w:keepLines w:val="0"/>
        <w:pageBreakBefore w:val="0"/>
        <w:kinsoku/>
        <w:wordWrap/>
        <w:overflowPunct/>
        <w:topLinePunct w:val="0"/>
        <w:autoSpaceDE/>
        <w:autoSpaceDN/>
        <w:bidi w:val="0"/>
        <w:spacing w:line="560" w:lineRule="exact"/>
        <w:ind w:firstLine="643"/>
        <w:textAlignment w:val="auto"/>
        <w:rPr>
          <w:rFonts w:ascii="仿宋_GB2312" w:hAnsi="仿宋_GB2312" w:eastAsia="仿宋_GB2312" w:cs="仿宋_GB2312"/>
          <w:color w:val="auto"/>
          <w:highlight w:val="none"/>
        </w:rPr>
      </w:pPr>
      <w:r>
        <w:rPr>
          <w:rFonts w:hint="eastAsia" w:ascii="仿宋_GB2312" w:hAnsi="仿宋_GB2312" w:eastAsia="仿宋_GB2312" w:cs="仿宋_GB2312"/>
          <w:b/>
          <w:color w:val="auto"/>
          <w:highlight w:val="none"/>
          <w:lang w:val="en-US" w:eastAsia="zh-CN"/>
        </w:rPr>
        <w:t>11</w:t>
      </w:r>
      <w:r>
        <w:rPr>
          <w:rFonts w:ascii="仿宋_GB2312" w:hAnsi="仿宋_GB2312" w:eastAsia="仿宋_GB2312" w:cs="仿宋_GB2312"/>
          <w:b/>
          <w:color w:val="auto"/>
          <w:highlight w:val="none"/>
        </w:rPr>
        <w:t>.实施国货“潮品”推广行动。</w:t>
      </w:r>
      <w:r>
        <w:rPr>
          <w:rFonts w:hint="eastAsia" w:ascii="仿宋_GB2312" w:hAnsi="仿宋_GB2312" w:eastAsia="仿宋_GB2312" w:cs="仿宋_GB2312"/>
          <w:color w:val="auto"/>
          <w:sz w:val="32"/>
          <w:szCs w:val="32"/>
          <w:highlight w:val="none"/>
        </w:rPr>
        <w:t>深度挖掘</w:t>
      </w:r>
      <w:r>
        <w:rPr>
          <w:rFonts w:hint="eastAsia" w:ascii="仿宋_GB2312" w:hAnsi="仿宋_GB2312" w:eastAsia="仿宋_GB2312" w:cs="仿宋_GB2312"/>
          <w:color w:val="auto"/>
          <w:sz w:val="32"/>
          <w:szCs w:val="32"/>
          <w:highlight w:val="none"/>
          <w:lang w:val="en-US" w:eastAsia="zh-CN"/>
        </w:rPr>
        <w:t>沈阳历史文化，工业文化，红色文化，民族文化四大特色</w:t>
      </w:r>
      <w:r>
        <w:rPr>
          <w:rFonts w:hint="eastAsia" w:ascii="仿宋_GB2312" w:hAnsi="仿宋_GB2312" w:eastAsia="仿宋_GB2312" w:cs="仿宋_GB2312"/>
          <w:color w:val="auto"/>
          <w:sz w:val="32"/>
          <w:szCs w:val="32"/>
          <w:highlight w:val="none"/>
        </w:rPr>
        <w:t>文化元素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打造具有沈阳特色的</w:t>
      </w:r>
      <w:r>
        <w:rPr>
          <w:rFonts w:hint="eastAsia" w:ascii="仿宋_GB2312" w:hAnsi="仿宋_GB2312" w:eastAsia="仿宋_GB2312" w:cs="仿宋_GB2312"/>
          <w:color w:val="auto"/>
          <w:highlight w:val="none"/>
        </w:rPr>
        <w:t>主题文创、特色非遗和旅游纪念产品。</w:t>
      </w:r>
      <w:r>
        <w:rPr>
          <w:rFonts w:hint="eastAsia" w:ascii="仿宋_GB2312" w:hAnsi="仿宋_GB2312" w:eastAsia="仿宋_GB2312" w:cs="仿宋_GB2312"/>
          <w:color w:val="auto"/>
          <w:highlight w:val="none"/>
          <w:lang w:eastAsia="zh-CN"/>
        </w:rPr>
        <w:t>鼓励举办</w:t>
      </w:r>
      <w:r>
        <w:rPr>
          <w:rFonts w:ascii="仿宋_GB2312" w:hAnsi="仿宋_GB2312" w:eastAsia="仿宋_GB2312" w:cs="仿宋_GB2312"/>
          <w:color w:val="auto"/>
          <w:highlight w:val="none"/>
        </w:rPr>
        <w:t>国货“潮品”主题</w:t>
      </w:r>
      <w:r>
        <w:rPr>
          <w:rFonts w:hint="eastAsia" w:ascii="仿宋_GB2312" w:hAnsi="仿宋_GB2312" w:eastAsia="仿宋_GB2312" w:cs="仿宋_GB2312"/>
          <w:color w:val="auto"/>
          <w:highlight w:val="none"/>
          <w:lang w:eastAsia="zh-CN"/>
        </w:rPr>
        <w:t>活动，设置创意市集、文创展览、互动体验区等，打造商文旅融合的国潮体验新业态。</w:t>
      </w:r>
    </w:p>
    <w:p>
      <w:pPr>
        <w:keepNext w:val="0"/>
        <w:keepLines w:val="0"/>
        <w:pageBreakBefore w:val="0"/>
        <w:kinsoku/>
        <w:wordWrap/>
        <w:overflowPunct/>
        <w:topLinePunct w:val="0"/>
        <w:autoSpaceDE/>
        <w:autoSpaceDN/>
        <w:bidi w:val="0"/>
        <w:spacing w:line="560" w:lineRule="exact"/>
        <w:ind w:firstLine="643"/>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lang w:val="en-US" w:eastAsia="zh-CN"/>
        </w:rPr>
        <w:t>12</w:t>
      </w:r>
      <w:r>
        <w:rPr>
          <w:rFonts w:ascii="仿宋_GB2312" w:hAnsi="仿宋_GB2312" w:eastAsia="仿宋_GB2312" w:cs="仿宋_GB2312"/>
          <w:b/>
          <w:bCs/>
          <w:color w:val="auto"/>
          <w:highlight w:val="none"/>
        </w:rPr>
        <w:t>.实施即时零售赋能行动。</w:t>
      </w:r>
      <w:r>
        <w:rPr>
          <w:rFonts w:hint="eastAsia" w:ascii="仿宋_GB2312" w:hAnsi="仿宋_GB2312" w:eastAsia="仿宋_GB2312" w:cs="仿宋_GB2312"/>
          <w:color w:val="auto"/>
          <w:highlight w:val="none"/>
        </w:rPr>
        <w:t>支持到店与到家协同发展，推广线上线下融合的即时零售</w:t>
      </w:r>
      <w:r>
        <w:rPr>
          <w:rFonts w:ascii="仿宋_GB2312" w:hAnsi="仿宋_GB2312" w:eastAsia="仿宋_GB2312" w:cs="仿宋_GB2312"/>
          <w:color w:val="auto"/>
          <w:highlight w:val="none"/>
        </w:rPr>
        <w:t>(平台下单+就近配送，门店下单+即时配送),探索“店仓一体”“预售+集采集配”等新模式。借助即时零售平台高效的物流配送体系，实现商品快速送达，为企业创造更多销售机会，持续扩大即时零售市场，打造新零售行业的重要增长点。</w:t>
      </w:r>
    </w:p>
    <w:p>
      <w:pPr>
        <w:keepNext w:val="0"/>
        <w:keepLines w:val="0"/>
        <w:pageBreakBefore w:val="0"/>
        <w:kinsoku/>
        <w:wordWrap/>
        <w:overflowPunct/>
        <w:topLinePunct w:val="0"/>
        <w:autoSpaceDE/>
        <w:autoSpaceDN/>
        <w:bidi w:val="0"/>
        <w:spacing w:line="560" w:lineRule="exact"/>
        <w:ind w:firstLine="643"/>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lang w:val="en-US" w:eastAsia="zh-CN"/>
        </w:rPr>
        <w:t>13</w:t>
      </w:r>
      <w:r>
        <w:rPr>
          <w:rFonts w:ascii="仿宋_GB2312" w:hAnsi="仿宋_GB2312" w:eastAsia="仿宋_GB2312" w:cs="仿宋_GB2312"/>
          <w:b/>
          <w:bCs/>
          <w:color w:val="auto"/>
          <w:highlight w:val="none"/>
        </w:rPr>
        <w:t>.实施多元业态提升行动。</w:t>
      </w:r>
      <w:r>
        <w:rPr>
          <w:rFonts w:hint="eastAsia" w:ascii="仿宋_GB2312" w:hAnsi="仿宋_GB2312" w:eastAsia="仿宋_GB2312" w:cs="仿宋_GB2312"/>
          <w:color w:val="auto"/>
          <w:highlight w:val="none"/>
        </w:rPr>
        <w:t>鼓励百货店探索深度联营、自采自营。鼓励</w:t>
      </w:r>
      <w:r>
        <w:rPr>
          <w:rFonts w:hint="eastAsia" w:ascii="仿宋_GB2312" w:hAnsi="仿宋_GB2312" w:eastAsia="仿宋_GB2312" w:cs="仿宋_GB2312"/>
          <w:color w:val="auto"/>
          <w:highlight w:val="none"/>
          <w:lang w:eastAsia="zh-CN"/>
        </w:rPr>
        <w:t>零售企业布局</w:t>
      </w:r>
      <w:r>
        <w:rPr>
          <w:rFonts w:hint="eastAsia" w:ascii="仿宋_GB2312" w:hAnsi="仿宋_GB2312" w:eastAsia="仿宋_GB2312" w:cs="仿宋_GB2312"/>
          <w:color w:val="auto"/>
          <w:highlight w:val="none"/>
        </w:rPr>
        <w:t>精品店、集合店、快闪店、品牌折扣店等新业态。鼓励</w:t>
      </w:r>
      <w:r>
        <w:rPr>
          <w:rFonts w:ascii="仿宋_GB2312" w:hAnsi="仿宋_GB2312" w:eastAsia="仿宋_GB2312" w:cs="仿宋_GB2312"/>
          <w:color w:val="auto"/>
          <w:highlight w:val="none"/>
        </w:rPr>
        <w:t>大型商业综合体、文创园区高品质发展</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带动周边业态整体提升</w:t>
      </w:r>
      <w:r>
        <w:rPr>
          <w:rFonts w:ascii="仿宋_GB2312" w:hAnsi="仿宋_GB2312" w:eastAsia="仿宋_GB2312" w:cs="仿宋_GB2312"/>
          <w:color w:val="auto"/>
          <w:highlight w:val="none"/>
        </w:rPr>
        <w:t>。结合闲置存量</w:t>
      </w:r>
      <w:r>
        <w:rPr>
          <w:rFonts w:hint="eastAsia" w:ascii="仿宋_GB2312" w:hAnsi="仿宋_GB2312" w:eastAsia="仿宋_GB2312" w:cs="仿宋_GB2312"/>
          <w:color w:val="auto"/>
          <w:highlight w:val="none"/>
          <w:lang w:eastAsia="zh-CN"/>
        </w:rPr>
        <w:t>商业</w:t>
      </w:r>
      <w:r>
        <w:rPr>
          <w:rFonts w:ascii="仿宋_GB2312" w:hAnsi="仿宋_GB2312" w:eastAsia="仿宋_GB2312" w:cs="仿宋_GB2312"/>
          <w:color w:val="auto"/>
          <w:highlight w:val="none"/>
        </w:rPr>
        <w:t>资产盘活，打造一批多业态复合空间，创建国家级和省级夜间文化和旅游消费聚集区。</w:t>
      </w:r>
    </w:p>
    <w:p>
      <w:pPr>
        <w:pStyle w:val="53"/>
        <w:keepNext w:val="0"/>
        <w:keepLines w:val="0"/>
        <w:pageBreakBefore w:val="0"/>
        <w:kinsoku/>
        <w:wordWrap/>
        <w:overflowPunct/>
        <w:topLinePunct w:val="0"/>
        <w:autoSpaceDE/>
        <w:autoSpaceDN/>
        <w:bidi w:val="0"/>
        <w:spacing w:line="560" w:lineRule="exact"/>
        <w:ind w:firstLine="643"/>
        <w:textAlignment w:val="auto"/>
        <w:rPr>
          <w:rFonts w:ascii="仿宋_GB2312" w:hAnsi="仿宋_GB2312" w:cs="楷体"/>
          <w:color w:val="auto"/>
          <w:highlight w:val="none"/>
        </w:rPr>
      </w:pPr>
      <w:r>
        <w:rPr>
          <w:rFonts w:hint="eastAsia" w:ascii="仿宋_GB2312" w:hAnsi="仿宋_GB2312" w:cs="楷体"/>
          <w:color w:val="auto"/>
          <w:highlight w:val="none"/>
        </w:rPr>
        <w:t>（五）供应链效率提升工程</w:t>
      </w:r>
    </w:p>
    <w:p>
      <w:pPr>
        <w:keepNext w:val="0"/>
        <w:keepLines w:val="0"/>
        <w:pageBreakBefore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color w:val="auto"/>
          <w:highlight w:val="none"/>
          <w:lang w:val="en-US" w:eastAsia="zh-CN"/>
        </w:rPr>
        <w:t>14</w:t>
      </w:r>
      <w:r>
        <w:rPr>
          <w:rFonts w:ascii="仿宋_GB2312" w:hAnsi="仿宋_GB2312" w:eastAsia="仿宋_GB2312" w:cs="仿宋_GB2312"/>
          <w:b/>
          <w:color w:val="auto"/>
          <w:highlight w:val="none"/>
        </w:rPr>
        <w:t>.实施供应</w:t>
      </w:r>
      <w:r>
        <w:rPr>
          <w:rFonts w:hint="eastAsia" w:ascii="仿宋_GB2312" w:hAnsi="仿宋_GB2312" w:eastAsia="仿宋_GB2312" w:cs="仿宋_GB2312"/>
          <w:b/>
          <w:color w:val="auto"/>
          <w:highlight w:val="none"/>
          <w:lang w:eastAsia="zh-CN"/>
        </w:rPr>
        <w:t>链转型升级</w:t>
      </w:r>
      <w:r>
        <w:rPr>
          <w:rFonts w:ascii="仿宋_GB2312" w:hAnsi="仿宋_GB2312" w:eastAsia="仿宋_GB2312" w:cs="仿宋_GB2312"/>
          <w:b/>
          <w:color w:val="auto"/>
          <w:highlight w:val="none"/>
        </w:rPr>
        <w:t>行动。</w:t>
      </w:r>
      <w:r>
        <w:rPr>
          <w:rFonts w:hint="eastAsia" w:ascii="仿宋_GB2312" w:hAnsi="仿宋_GB2312" w:eastAsia="仿宋_GB2312" w:cs="仿宋_GB2312"/>
          <w:b w:val="0"/>
          <w:bCs/>
          <w:color w:val="auto"/>
          <w:highlight w:val="none"/>
          <w:lang w:val="en-US" w:eastAsia="zh-CN"/>
        </w:rPr>
        <w:t>推动零售企业利用数字化技术在供应链层面降本增效，提升整体竞争力。鼓励大型零售企业发挥核心和主导作用，加快供应链信息化建设，实现需求、库存和物流信息的实时共享。</w:t>
      </w:r>
      <w:r>
        <w:rPr>
          <w:rFonts w:hint="eastAsia" w:ascii="仿宋_GB2312" w:hAnsi="仿宋_GB2312" w:eastAsia="仿宋_GB2312" w:cs="仿宋_GB2312"/>
          <w:b w:val="0"/>
          <w:bCs/>
          <w:color w:val="auto"/>
          <w:highlight w:val="none"/>
        </w:rPr>
        <w:t>鼓励连锁经营企业建设供应链服务平台，引导生产端优化配置资源，按需组织生产</w:t>
      </w:r>
      <w:r>
        <w:rPr>
          <w:rFonts w:hint="eastAsia" w:ascii="仿宋_GB2312" w:hAnsi="仿宋_GB2312" w:eastAsia="仿宋_GB2312" w:cs="仿宋_GB2312"/>
          <w:b w:val="0"/>
          <w:bCs/>
          <w:color w:val="auto"/>
          <w:highlight w:val="none"/>
          <w:lang w:eastAsia="zh-CN"/>
        </w:rPr>
        <w:t>。</w:t>
      </w:r>
    </w:p>
    <w:p>
      <w:pPr>
        <w:keepNext w:val="0"/>
        <w:keepLines w:val="0"/>
        <w:pageBreakBefore w:val="0"/>
        <w:kinsoku/>
        <w:wordWrap/>
        <w:overflowPunct/>
        <w:topLinePunct w:val="0"/>
        <w:autoSpaceDE/>
        <w:autoSpaceDN/>
        <w:bidi w:val="0"/>
        <w:spacing w:line="560" w:lineRule="exact"/>
        <w:ind w:firstLine="640"/>
        <w:textAlignment w:val="auto"/>
        <w:rPr>
          <w:rFonts w:cs="Times New Roman"/>
          <w:color w:val="auto"/>
          <w:highlight w:val="none"/>
        </w:rPr>
      </w:pPr>
      <w:r>
        <w:rPr>
          <w:rFonts w:hint="eastAsia" w:ascii="仿宋_GB2312" w:hAnsi="仿宋_GB2312" w:eastAsia="仿宋_GB2312" w:cs="仿宋_GB2312"/>
          <w:b/>
          <w:color w:val="auto"/>
          <w:highlight w:val="none"/>
          <w:lang w:val="en-US" w:eastAsia="zh-CN"/>
        </w:rPr>
        <w:t>15</w:t>
      </w:r>
      <w:r>
        <w:rPr>
          <w:rFonts w:ascii="仿宋_GB2312" w:hAnsi="仿宋_GB2312" w:eastAsia="仿宋_GB2312" w:cs="仿宋_GB2312"/>
          <w:b/>
          <w:color w:val="auto"/>
          <w:highlight w:val="none"/>
        </w:rPr>
        <w:t>.实施</w:t>
      </w:r>
      <w:r>
        <w:rPr>
          <w:rFonts w:hint="eastAsia" w:ascii="仿宋_GB2312" w:hAnsi="仿宋_GB2312" w:eastAsia="仿宋_GB2312" w:cs="仿宋_GB2312"/>
          <w:b/>
          <w:color w:val="auto"/>
          <w:highlight w:val="none"/>
          <w:lang w:val="en-US" w:eastAsia="zh-CN"/>
        </w:rPr>
        <w:t>供应链服务增效</w:t>
      </w:r>
      <w:r>
        <w:rPr>
          <w:rFonts w:ascii="仿宋_GB2312" w:hAnsi="仿宋_GB2312" w:eastAsia="仿宋_GB2312" w:cs="仿宋_GB2312"/>
          <w:b/>
          <w:color w:val="auto"/>
          <w:highlight w:val="none"/>
        </w:rPr>
        <w:t>行动</w:t>
      </w:r>
      <w:r>
        <w:rPr>
          <w:rFonts w:hint="eastAsia" w:ascii="仿宋_GB2312" w:hAnsi="仿宋_GB2312" w:eastAsia="仿宋_GB2312" w:cs="仿宋_GB2312"/>
          <w:b/>
          <w:color w:val="auto"/>
          <w:highlight w:val="none"/>
          <w:lang w:eastAsia="zh-CN"/>
        </w:rPr>
        <w:t>。</w:t>
      </w:r>
      <w:r>
        <w:rPr>
          <w:rFonts w:hint="eastAsia" w:ascii="仿宋_GB2312" w:hAnsi="仿宋_GB2312" w:eastAsia="仿宋_GB2312" w:cs="仿宋_GB2312"/>
          <w:b w:val="0"/>
          <w:bCs/>
          <w:color w:val="auto"/>
          <w:highlight w:val="none"/>
          <w:lang w:val="en-US" w:eastAsia="zh-CN"/>
        </w:rPr>
        <w:t>引导传统商贸、物流企业拓展供应链一体化服务功能，提供供应链金融、供应链管理、科技服务、信息咨询等各类专业化供应链业务。推动供应链综合服务平台建设，构建将物流、资金流、商流、信息流融于一体的生态链，助力零售产业发展。</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hAnsi="仿宋_GB2312" w:eastAsia="黑体" w:cs="黑体"/>
          <w:color w:val="auto"/>
          <w:szCs w:val="32"/>
          <w:highlight w:val="none"/>
        </w:rPr>
      </w:pPr>
      <w:r>
        <w:rPr>
          <w:rFonts w:hint="eastAsia" w:ascii="仿宋_GB2312" w:hAnsi="仿宋_GB2312" w:eastAsia="黑体" w:cs="黑体"/>
          <w:color w:val="auto"/>
          <w:szCs w:val="32"/>
          <w:highlight w:val="none"/>
          <w:lang w:eastAsia="zh-CN"/>
        </w:rPr>
        <w:t>三</w:t>
      </w:r>
      <w:r>
        <w:rPr>
          <w:rFonts w:hint="eastAsia" w:ascii="仿宋_GB2312" w:hAnsi="仿宋_GB2312" w:eastAsia="黑体" w:cs="黑体"/>
          <w:color w:val="auto"/>
          <w:szCs w:val="32"/>
          <w:highlight w:val="none"/>
        </w:rPr>
        <w:t>、政策保障</w:t>
      </w:r>
    </w:p>
    <w:p>
      <w:pPr>
        <w:keepNext w:val="0"/>
        <w:keepLines w:val="0"/>
        <w:pageBreakBefore w:val="0"/>
        <w:kinsoku/>
        <w:wordWrap/>
        <w:overflowPunct/>
        <w:topLinePunct w:val="0"/>
        <w:autoSpaceDE/>
        <w:autoSpaceDN/>
        <w:bidi w:val="0"/>
        <w:spacing w:line="560" w:lineRule="exact"/>
        <w:ind w:firstLine="643"/>
        <w:textAlignment w:val="auto"/>
        <w:rPr>
          <w:rFonts w:hint="eastAsia" w:ascii="仿宋_GB2312" w:hAnsi="仿宋_GB2312" w:eastAsia="仿宋_GB2312" w:cs="仿宋_GB2312"/>
          <w:b/>
          <w:bCs/>
          <w:color w:val="auto"/>
          <w:szCs w:val="32"/>
          <w:highlight w:val="none"/>
          <w:lang w:eastAsia="zh-CN"/>
        </w:rPr>
      </w:pPr>
      <w:r>
        <w:rPr>
          <w:rFonts w:hint="eastAsia" w:ascii="仿宋_GB2312" w:hAnsi="仿宋_GB2312" w:eastAsia="仿宋_GB2312" w:cs="仿宋_GB2312"/>
          <w:b/>
          <w:bCs/>
          <w:color w:val="auto"/>
          <w:szCs w:val="32"/>
          <w:highlight w:val="none"/>
        </w:rPr>
        <w:t>（一）加强组织领导。</w:t>
      </w:r>
      <w:r>
        <w:rPr>
          <w:rFonts w:hint="eastAsia"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商务</w:t>
      </w:r>
      <w:r>
        <w:rPr>
          <w:rFonts w:hint="eastAsia"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会同</w:t>
      </w:r>
      <w:r>
        <w:rPr>
          <w:rFonts w:hint="eastAsia"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发</w:t>
      </w:r>
      <w:r>
        <w:rPr>
          <w:rFonts w:hint="eastAsia" w:eastAsia="仿宋_GB2312" w:cs="Times New Roman"/>
          <w:color w:val="auto"/>
          <w:sz w:val="32"/>
          <w:szCs w:val="32"/>
          <w:highlight w:val="none"/>
          <w:lang w:eastAsia="zh-CN"/>
        </w:rPr>
        <w:t>展改革</w:t>
      </w:r>
      <w:r>
        <w:rPr>
          <w:rFonts w:hint="default" w:ascii="Times New Roman" w:hAnsi="Times New Roman" w:eastAsia="仿宋_GB2312" w:cs="Times New Roman"/>
          <w:color w:val="auto"/>
          <w:sz w:val="32"/>
          <w:szCs w:val="32"/>
          <w:highlight w:val="none"/>
        </w:rPr>
        <w:t>委、</w:t>
      </w:r>
      <w:r>
        <w:rPr>
          <w:rFonts w:hint="eastAsia"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财政</w:t>
      </w:r>
      <w:r>
        <w:rPr>
          <w:rFonts w:hint="eastAsia" w:ascii="Times New Roman" w:hAnsi="Times New Roman" w:eastAsia="仿宋_GB2312" w:cs="Times New Roman"/>
          <w:color w:val="auto"/>
          <w:sz w:val="32"/>
          <w:szCs w:val="32"/>
          <w:highlight w:val="none"/>
          <w:lang w:eastAsia="zh-CN"/>
        </w:rPr>
        <w:t>局</w:t>
      </w:r>
      <w:r>
        <w:rPr>
          <w:rFonts w:hint="eastAsia" w:eastAsia="仿宋_GB2312" w:cs="Times New Roman"/>
          <w:color w:val="auto"/>
          <w:sz w:val="32"/>
          <w:szCs w:val="32"/>
          <w:highlight w:val="none"/>
          <w:lang w:eastAsia="zh-CN"/>
        </w:rPr>
        <w:t>、</w:t>
      </w:r>
      <w:r>
        <w:rPr>
          <w:rFonts w:hint="eastAsia" w:ascii="仿宋_GB2312" w:hAnsi="仿宋_GB2312" w:eastAsia="仿宋_GB2312" w:cs="仿宋_GB2312"/>
          <w:bCs/>
          <w:color w:val="auto"/>
          <w:szCs w:val="32"/>
          <w:highlight w:val="none"/>
        </w:rPr>
        <w:t>市自然资源局、市城乡建设局、市文旅广电局、市市场监管局、市委金融办</w:t>
      </w:r>
      <w:r>
        <w:rPr>
          <w:rFonts w:hint="default" w:ascii="Times New Roman" w:hAnsi="Times New Roman" w:eastAsia="仿宋_GB2312" w:cs="Times New Roman"/>
          <w:color w:val="auto"/>
          <w:sz w:val="32"/>
          <w:szCs w:val="32"/>
          <w:highlight w:val="none"/>
        </w:rPr>
        <w:t>等部门建立工作协调</w:t>
      </w:r>
      <w:r>
        <w:rPr>
          <w:rFonts w:hint="eastAsia" w:eastAsia="仿宋_GB2312" w:cs="Times New Roman"/>
          <w:color w:val="auto"/>
          <w:sz w:val="32"/>
          <w:szCs w:val="32"/>
          <w:highlight w:val="none"/>
          <w:lang w:eastAsia="zh-CN"/>
        </w:rPr>
        <w:t>推进</w:t>
      </w:r>
      <w:r>
        <w:rPr>
          <w:rFonts w:hint="default" w:ascii="Times New Roman" w:hAnsi="Times New Roman" w:eastAsia="仿宋_GB2312" w:cs="Times New Roman"/>
          <w:color w:val="auto"/>
          <w:sz w:val="32"/>
          <w:szCs w:val="32"/>
          <w:highlight w:val="none"/>
        </w:rPr>
        <w:t>机制，</w:t>
      </w:r>
      <w:r>
        <w:rPr>
          <w:rFonts w:hint="eastAsia" w:eastAsia="仿宋_GB2312" w:cs="Times New Roman"/>
          <w:color w:val="auto"/>
          <w:sz w:val="32"/>
          <w:szCs w:val="32"/>
          <w:highlight w:val="none"/>
          <w:lang w:eastAsia="zh-CN"/>
        </w:rPr>
        <w:t>系统谋划，定期调度，及时总结推广先进经验，</w:t>
      </w:r>
      <w:r>
        <w:rPr>
          <w:rFonts w:hint="default" w:ascii="Times New Roman" w:hAnsi="Times New Roman" w:eastAsia="仿宋_GB2312" w:cs="Times New Roman"/>
          <w:color w:val="auto"/>
          <w:sz w:val="32"/>
          <w:szCs w:val="32"/>
          <w:highlight w:val="none"/>
        </w:rPr>
        <w:t>研究解决工作中的</w:t>
      </w:r>
      <w:r>
        <w:rPr>
          <w:rFonts w:hint="eastAsia" w:eastAsia="仿宋_GB2312" w:cs="Times New Roman"/>
          <w:color w:val="auto"/>
          <w:sz w:val="32"/>
          <w:szCs w:val="32"/>
          <w:highlight w:val="none"/>
          <w:lang w:eastAsia="zh-CN"/>
        </w:rPr>
        <w:t>具体</w:t>
      </w:r>
      <w:r>
        <w:rPr>
          <w:rFonts w:hint="default" w:ascii="Times New Roman" w:hAnsi="Times New Roman" w:eastAsia="仿宋_GB2312" w:cs="Times New Roman"/>
          <w:color w:val="auto"/>
          <w:sz w:val="32"/>
          <w:szCs w:val="32"/>
          <w:highlight w:val="none"/>
        </w:rPr>
        <w:t>问题。各地要高度重视</w:t>
      </w:r>
      <w:r>
        <w:rPr>
          <w:rFonts w:hint="eastAsia" w:ascii="Times New Roman" w:hAnsi="Times New Roman" w:eastAsia="仿宋_GB2312" w:cs="Times New Roman"/>
          <w:color w:val="auto"/>
          <w:sz w:val="32"/>
          <w:szCs w:val="32"/>
          <w:highlight w:val="none"/>
          <w:lang w:eastAsia="zh-CN"/>
        </w:rPr>
        <w:t>试点城市建设</w:t>
      </w:r>
      <w:r>
        <w:rPr>
          <w:rFonts w:hint="default" w:ascii="Times New Roman" w:hAnsi="Times New Roman" w:eastAsia="仿宋_GB2312" w:cs="Times New Roman"/>
          <w:color w:val="auto"/>
          <w:sz w:val="32"/>
          <w:szCs w:val="32"/>
          <w:highlight w:val="none"/>
        </w:rPr>
        <w:t>工作，按照本实施方案制定工作落实措施，</w:t>
      </w:r>
      <w:r>
        <w:rPr>
          <w:rFonts w:hint="eastAsia" w:ascii="Times New Roman" w:hAnsi="Times New Roman" w:eastAsia="仿宋_GB2312" w:cs="Times New Roman"/>
          <w:color w:val="auto"/>
          <w:sz w:val="32"/>
          <w:szCs w:val="32"/>
          <w:highlight w:val="none"/>
          <w:lang w:eastAsia="zh-CN"/>
        </w:rPr>
        <w:t>推动各项任务落实落细。</w:t>
      </w:r>
    </w:p>
    <w:p>
      <w:pPr>
        <w:keepNext w:val="0"/>
        <w:keepLines w:val="0"/>
        <w:pageBreakBefore w:val="0"/>
        <w:kinsoku/>
        <w:wordWrap/>
        <w:overflowPunct/>
        <w:topLinePunct w:val="0"/>
        <w:autoSpaceDE/>
        <w:autoSpaceDN/>
        <w:bidi w:val="0"/>
        <w:spacing w:line="560" w:lineRule="exact"/>
        <w:ind w:firstLine="643"/>
        <w:textAlignment w:val="auto"/>
        <w:rPr>
          <w:rFonts w:hint="eastAsia" w:ascii="仿宋_GB2312" w:hAnsi="仿宋_GB2312" w:eastAsia="仿宋_GB2312" w:cs="仿宋_GB2312"/>
          <w:bCs/>
          <w:color w:val="auto"/>
          <w:szCs w:val="32"/>
          <w:highlight w:val="none"/>
        </w:rPr>
      </w:pPr>
      <w:r>
        <w:rPr>
          <w:rFonts w:hint="eastAsia" w:ascii="仿宋_GB2312" w:hAnsi="仿宋_GB2312" w:eastAsia="仿宋_GB2312" w:cs="仿宋_GB2312"/>
          <w:b/>
          <w:bCs/>
          <w:color w:val="auto"/>
          <w:szCs w:val="32"/>
          <w:highlight w:val="none"/>
        </w:rPr>
        <w:t>（二）优化政策支持。</w:t>
      </w:r>
      <w:r>
        <w:rPr>
          <w:rFonts w:hint="eastAsia" w:ascii="仿宋_GB2312" w:hAnsi="仿宋_GB2312" w:eastAsia="仿宋_GB2312" w:cs="仿宋_GB2312"/>
          <w:color w:val="auto"/>
          <w:sz w:val="32"/>
          <w:szCs w:val="32"/>
          <w:highlight w:val="none"/>
          <w:lang w:val="en-US" w:eastAsia="zh-CN"/>
        </w:rPr>
        <w:t>积极争取国家、省政策支持，用好用足</w:t>
      </w:r>
      <w:r>
        <w:rPr>
          <w:rFonts w:hint="eastAsia" w:ascii="仿宋_GB2312" w:hAnsi="仿宋_GB2312" w:eastAsia="仿宋_GB2312" w:cs="仿宋_GB2312"/>
          <w:color w:val="auto"/>
          <w:sz w:val="32"/>
          <w:szCs w:val="32"/>
          <w:highlight w:val="none"/>
          <w:lang w:eastAsia="zh-CN"/>
        </w:rPr>
        <w:t>现有产业</w:t>
      </w:r>
      <w:r>
        <w:rPr>
          <w:rFonts w:hint="eastAsia" w:ascii="仿宋_GB2312" w:hAnsi="仿宋_GB2312" w:eastAsia="仿宋_GB2312" w:cs="仿宋_GB2312"/>
          <w:color w:val="auto"/>
          <w:sz w:val="32"/>
          <w:szCs w:val="32"/>
          <w:highlight w:val="none"/>
          <w:lang w:val="en-US" w:eastAsia="zh-CN"/>
        </w:rPr>
        <w:t>政策和专项</w:t>
      </w:r>
      <w:r>
        <w:rPr>
          <w:rFonts w:hint="eastAsia" w:ascii="仿宋_GB2312" w:hAnsi="仿宋_GB2312" w:eastAsia="仿宋_GB2312" w:cs="仿宋_GB2312"/>
          <w:color w:val="auto"/>
          <w:sz w:val="32"/>
          <w:szCs w:val="32"/>
          <w:highlight w:val="none"/>
          <w:lang w:eastAsia="zh-CN"/>
        </w:rPr>
        <w:t>资金，并将相关支持政策纳入市区两级“稳增长、惠民生、促消费”政策体系中。各地区要</w:t>
      </w:r>
      <w:r>
        <w:rPr>
          <w:rFonts w:hint="eastAsia" w:ascii="仿宋_GB2312" w:hAnsi="仿宋_GB2312" w:eastAsia="仿宋_GB2312" w:cs="仿宋_GB2312"/>
          <w:bCs/>
          <w:color w:val="auto"/>
          <w:szCs w:val="32"/>
          <w:highlight w:val="none"/>
        </w:rPr>
        <w:t>围绕零售业发展趋势和企业实际需求，按照“一店一策”“一企一策”原则</w:t>
      </w:r>
      <w:r>
        <w:rPr>
          <w:rFonts w:hint="eastAsia" w:ascii="仿宋_GB2312" w:hAnsi="仿宋_GB2312" w:eastAsia="仿宋_GB2312" w:cs="仿宋_GB2312"/>
          <w:bCs/>
          <w:color w:val="auto"/>
          <w:szCs w:val="32"/>
          <w:highlight w:val="none"/>
          <w:lang w:eastAsia="zh-CN"/>
        </w:rPr>
        <w:t>，</w:t>
      </w:r>
      <w:r>
        <w:rPr>
          <w:rFonts w:hint="eastAsia" w:ascii="仿宋_GB2312" w:hAnsi="仿宋_GB2312" w:eastAsia="仿宋_GB2312" w:cs="仿宋_GB2312"/>
          <w:bCs/>
          <w:color w:val="auto"/>
          <w:szCs w:val="32"/>
          <w:highlight w:val="none"/>
        </w:rPr>
        <w:t>明确工作目标和任务分工，打好投资、土地、规划、建设等政策“组合拳”，推动相关试点项目稳妥有序实施。</w:t>
      </w:r>
    </w:p>
    <w:p>
      <w:pPr>
        <w:keepNext w:val="0"/>
        <w:keepLines w:val="0"/>
        <w:pageBreakBefore w:val="0"/>
        <w:kinsoku/>
        <w:wordWrap/>
        <w:overflowPunct/>
        <w:topLinePunct w:val="0"/>
        <w:autoSpaceDE/>
        <w:autoSpaceDN/>
        <w:bidi w:val="0"/>
        <w:spacing w:line="560" w:lineRule="exact"/>
        <w:ind w:firstLine="643"/>
        <w:textAlignment w:val="auto"/>
        <w:rPr>
          <w:rFonts w:hint="eastAsia" w:ascii="仿宋_GB2312" w:hAnsi="仿宋_GB2312" w:eastAsia="仿宋_GB2312" w:cs="仿宋_GB2312"/>
          <w:b/>
          <w:bCs/>
          <w:color w:val="auto"/>
          <w:szCs w:val="32"/>
          <w:highlight w:val="none"/>
        </w:rPr>
      </w:pPr>
      <w:r>
        <w:rPr>
          <w:rFonts w:hint="eastAsia" w:ascii="仿宋_GB2312" w:hAnsi="仿宋_GB2312" w:eastAsia="仿宋_GB2312" w:cs="仿宋_GB2312"/>
          <w:b/>
          <w:bCs/>
          <w:color w:val="auto"/>
          <w:szCs w:val="32"/>
          <w:highlight w:val="none"/>
          <w:lang w:eastAsia="zh-CN"/>
        </w:rPr>
        <w:t>（</w:t>
      </w:r>
      <w:r>
        <w:rPr>
          <w:rFonts w:hint="eastAsia" w:ascii="仿宋_GB2312" w:hAnsi="仿宋_GB2312" w:eastAsia="仿宋_GB2312" w:cs="仿宋_GB2312"/>
          <w:b/>
          <w:bCs/>
          <w:color w:val="auto"/>
          <w:szCs w:val="32"/>
          <w:highlight w:val="none"/>
        </w:rPr>
        <w:t>三</w:t>
      </w:r>
      <w:r>
        <w:rPr>
          <w:rFonts w:hint="eastAsia" w:ascii="仿宋_GB2312" w:hAnsi="仿宋_GB2312" w:eastAsia="仿宋_GB2312" w:cs="仿宋_GB2312"/>
          <w:b/>
          <w:bCs/>
          <w:color w:val="auto"/>
          <w:szCs w:val="32"/>
          <w:highlight w:val="none"/>
          <w:lang w:eastAsia="zh-CN"/>
        </w:rPr>
        <w:t>）注重项目调度。</w:t>
      </w:r>
      <w:r>
        <w:rPr>
          <w:rFonts w:hint="eastAsia" w:ascii="仿宋_GB2312" w:hAnsi="仿宋_GB2312" w:eastAsia="仿宋_GB2312" w:cs="仿宋_GB2312"/>
          <w:b w:val="0"/>
          <w:bCs w:val="0"/>
          <w:color w:val="auto"/>
          <w:szCs w:val="32"/>
          <w:highlight w:val="none"/>
          <w:lang w:eastAsia="zh-CN"/>
        </w:rPr>
        <w:t>建立定期调度和动态调整工作机制，设立零售业创新提升试点项目库，做好项目跟踪推进工作。</w:t>
      </w:r>
      <w:r>
        <w:rPr>
          <w:rFonts w:hint="eastAsia" w:ascii="仿宋_GB2312" w:hAnsi="仿宋_GB2312" w:eastAsia="仿宋_GB2312" w:cs="仿宋_GB2312"/>
          <w:bCs/>
          <w:color w:val="auto"/>
          <w:szCs w:val="32"/>
          <w:highlight w:val="none"/>
        </w:rPr>
        <w:t>适时开展项目督导调研和跟踪服务，及时发现并协调解决项目推动中存在的困难和问题，确保各项目标落实到位。建立试点工作信息报送机制，定期向报送试点工作进展情况和典型项目。</w:t>
      </w:r>
    </w:p>
    <w:p>
      <w:pPr>
        <w:keepNext w:val="0"/>
        <w:keepLines w:val="0"/>
        <w:pageBreakBefore w:val="0"/>
        <w:kinsoku/>
        <w:wordWrap/>
        <w:overflowPunct/>
        <w:topLinePunct w:val="0"/>
        <w:autoSpaceDE/>
        <w:autoSpaceDN/>
        <w:bidi w:val="0"/>
        <w:spacing w:line="560" w:lineRule="exact"/>
        <w:ind w:firstLine="643"/>
        <w:textAlignment w:val="auto"/>
        <w:rPr>
          <w:rFonts w:hint="eastAsia" w:ascii="仿宋_GB2312" w:hAnsi="仿宋_GB2312" w:eastAsia="仿宋_GB2312" w:cs="仿宋_GB2312"/>
          <w:bCs/>
          <w:color w:val="auto"/>
          <w:szCs w:val="32"/>
          <w:highlight w:val="none"/>
        </w:rPr>
      </w:pPr>
      <w:r>
        <w:rPr>
          <w:rFonts w:hint="eastAsia" w:ascii="仿宋_GB2312" w:hAnsi="仿宋_GB2312" w:eastAsia="仿宋_GB2312" w:cs="仿宋_GB2312"/>
          <w:b/>
          <w:bCs/>
          <w:color w:val="auto"/>
          <w:szCs w:val="32"/>
          <w:highlight w:val="none"/>
        </w:rPr>
        <w:t>（四）促进招商对接。</w:t>
      </w:r>
      <w:r>
        <w:rPr>
          <w:rFonts w:hint="eastAsia" w:ascii="仿宋_GB2312" w:hAnsi="仿宋_GB2312" w:eastAsia="仿宋_GB2312" w:cs="仿宋_GB2312"/>
          <w:bCs/>
          <w:color w:val="auto"/>
          <w:szCs w:val="32"/>
          <w:highlight w:val="none"/>
        </w:rPr>
        <w:t>积极组织“走出去”、“请进来”招商活动，加快引进国内外</w:t>
      </w:r>
      <w:r>
        <w:rPr>
          <w:rFonts w:hint="eastAsia" w:ascii="仿宋_GB2312" w:hAnsi="仿宋_GB2312" w:eastAsia="仿宋_GB2312" w:cs="仿宋_GB2312"/>
          <w:bCs/>
          <w:color w:val="auto"/>
          <w:szCs w:val="32"/>
          <w:highlight w:val="none"/>
          <w:lang w:eastAsia="zh-CN"/>
        </w:rPr>
        <w:t>专业</w:t>
      </w:r>
      <w:r>
        <w:rPr>
          <w:rFonts w:hint="eastAsia" w:ascii="仿宋_GB2312" w:hAnsi="仿宋_GB2312" w:eastAsia="仿宋_GB2312" w:cs="仿宋_GB2312"/>
          <w:bCs/>
          <w:color w:val="auto"/>
          <w:szCs w:val="32"/>
          <w:highlight w:val="none"/>
        </w:rPr>
        <w:t>运营商，提升</w:t>
      </w:r>
      <w:r>
        <w:rPr>
          <w:rFonts w:hint="eastAsia" w:ascii="仿宋_GB2312" w:hAnsi="仿宋_GB2312" w:eastAsia="仿宋_GB2312" w:cs="仿宋_GB2312"/>
          <w:bCs/>
          <w:color w:val="auto"/>
          <w:szCs w:val="32"/>
          <w:highlight w:val="none"/>
          <w:lang w:eastAsia="zh-CN"/>
        </w:rPr>
        <w:t>项目</w:t>
      </w:r>
      <w:r>
        <w:rPr>
          <w:rFonts w:hint="eastAsia" w:ascii="仿宋_GB2312" w:hAnsi="仿宋_GB2312" w:eastAsia="仿宋_GB2312" w:cs="仿宋_GB2312"/>
          <w:bCs/>
          <w:color w:val="auto"/>
          <w:szCs w:val="32"/>
          <w:highlight w:val="none"/>
        </w:rPr>
        <w:t>管理服务和专业化运营水平。吸引多元资金参与提升改造项目，探索产权收购、长期整租等路径。充分发挥地方商会、行业协会资源和渠道优势，吸引一批能级高、效益好、成长力强的项目。</w:t>
      </w:r>
    </w:p>
    <w:p>
      <w:pPr>
        <w:keepNext w:val="0"/>
        <w:keepLines w:val="0"/>
        <w:pageBreakBefore w:val="0"/>
        <w:kinsoku/>
        <w:wordWrap/>
        <w:overflowPunct/>
        <w:topLinePunct w:val="0"/>
        <w:autoSpaceDE/>
        <w:autoSpaceDN/>
        <w:bidi w:val="0"/>
        <w:spacing w:line="560" w:lineRule="exact"/>
        <w:ind w:firstLine="643"/>
        <w:textAlignment w:val="auto"/>
        <w:rPr>
          <w:rFonts w:hint="eastAsia" w:ascii="仿宋_GB2312" w:hAnsi="仿宋_GB2312" w:eastAsia="仿宋_GB2312" w:cs="仿宋_GB2312"/>
          <w:bCs/>
          <w:color w:val="auto"/>
          <w:szCs w:val="32"/>
          <w:highlight w:val="none"/>
        </w:rPr>
      </w:pPr>
      <w:r>
        <w:rPr>
          <w:rFonts w:hint="eastAsia" w:ascii="仿宋_GB2312" w:hAnsi="仿宋_GB2312" w:eastAsia="仿宋_GB2312" w:cs="仿宋_GB2312"/>
          <w:b/>
          <w:bCs/>
          <w:color w:val="auto"/>
          <w:szCs w:val="32"/>
          <w:highlight w:val="none"/>
        </w:rPr>
        <w:t>（五）优化营商环境。</w:t>
      </w:r>
      <w:r>
        <w:rPr>
          <w:rFonts w:hint="eastAsia" w:ascii="仿宋_GB2312" w:hAnsi="仿宋_GB2312" w:eastAsia="仿宋_GB2312" w:cs="仿宋_GB2312"/>
          <w:bCs/>
          <w:color w:val="auto"/>
          <w:szCs w:val="32"/>
          <w:highlight w:val="none"/>
        </w:rPr>
        <w:t>进一步提升政务服务便利度，加强承诺制审批，强化“审管衔接”，进一步激发经营主体活力。强化责任落实和监管问责，建立健全线上线下一体化监管机制，加大对销售假冒伪劣商品、虚假宣传、价格欺诈、低价倾销等行为的打击力度，着力营造安全放心诚信消费环境和竞争环境。</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Cs/>
          <w:color w:val="auto"/>
          <w:szCs w:val="32"/>
          <w:highlight w:val="none"/>
        </w:rPr>
      </w:pPr>
      <w:r>
        <w:rPr>
          <w:rFonts w:hint="eastAsia" w:ascii="仿宋_GB2312" w:hAnsi="仿宋_GB2312" w:eastAsia="仿宋_GB2312" w:cs="仿宋_GB2312"/>
          <w:b/>
          <w:bCs/>
          <w:color w:val="auto"/>
          <w:szCs w:val="32"/>
          <w:highlight w:val="none"/>
        </w:rPr>
        <w:t>（</w:t>
      </w:r>
      <w:r>
        <w:rPr>
          <w:rFonts w:hint="eastAsia" w:ascii="仿宋_GB2312" w:hAnsi="仿宋_GB2312" w:eastAsia="仿宋_GB2312" w:cs="仿宋_GB2312"/>
          <w:b/>
          <w:bCs/>
          <w:color w:val="auto"/>
          <w:szCs w:val="32"/>
          <w:highlight w:val="none"/>
          <w:lang w:eastAsia="zh-CN"/>
        </w:rPr>
        <w:t>六</w:t>
      </w:r>
      <w:r>
        <w:rPr>
          <w:rFonts w:hint="eastAsia" w:ascii="仿宋_GB2312" w:hAnsi="仿宋_GB2312" w:eastAsia="仿宋_GB2312" w:cs="仿宋_GB2312"/>
          <w:b/>
          <w:bCs/>
          <w:color w:val="auto"/>
          <w:szCs w:val="32"/>
          <w:highlight w:val="none"/>
        </w:rPr>
        <w:t>）强化宣传引导。</w:t>
      </w:r>
      <w:r>
        <w:rPr>
          <w:rFonts w:hint="eastAsia" w:ascii="仿宋_GB2312" w:hAnsi="仿宋_GB2312" w:eastAsia="仿宋_GB2312" w:cs="仿宋_GB2312"/>
          <w:bCs/>
          <w:color w:val="auto"/>
          <w:szCs w:val="32"/>
          <w:highlight w:val="none"/>
        </w:rPr>
        <w:t>充分依托电视、广播、报刊、网络等新闻媒介，多渠道、多形式、全方位宣传零售业创新提升相关</w:t>
      </w:r>
      <w:r>
        <w:rPr>
          <w:rFonts w:hint="eastAsia" w:ascii="仿宋_GB2312" w:hAnsi="仿宋_GB2312" w:eastAsia="仿宋_GB2312" w:cs="仿宋_GB2312"/>
          <w:bCs/>
          <w:color w:val="auto"/>
          <w:szCs w:val="32"/>
          <w:highlight w:val="none"/>
          <w:lang w:eastAsia="zh-CN"/>
        </w:rPr>
        <w:t>政策措施，</w:t>
      </w:r>
      <w:r>
        <w:rPr>
          <w:rFonts w:hint="eastAsia" w:ascii="仿宋_GB2312" w:hAnsi="仿宋_GB2312" w:eastAsia="仿宋_GB2312" w:cs="仿宋_GB2312"/>
          <w:bCs/>
          <w:color w:val="auto"/>
          <w:szCs w:val="32"/>
          <w:highlight w:val="none"/>
        </w:rPr>
        <w:t>提高社会认知度和影响力</w:t>
      </w:r>
      <w:r>
        <w:rPr>
          <w:rFonts w:hint="eastAsia" w:ascii="仿宋_GB2312" w:hAnsi="仿宋_GB2312" w:eastAsia="仿宋_GB2312" w:cs="仿宋_GB2312"/>
          <w:color w:val="auto"/>
          <w:sz w:val="32"/>
          <w:szCs w:val="32"/>
          <w:highlight w:val="none"/>
          <w:lang w:eastAsia="zh-CN"/>
        </w:rPr>
        <w:t>，营造良好社会氛围</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Cs/>
          <w:color w:val="auto"/>
          <w:szCs w:val="32"/>
          <w:highlight w:val="none"/>
          <w:lang w:eastAsia="zh-CN"/>
        </w:rPr>
        <w:t>及时总结推广</w:t>
      </w:r>
      <w:r>
        <w:rPr>
          <w:rFonts w:hint="eastAsia" w:ascii="仿宋_GB2312" w:hAnsi="仿宋_GB2312" w:eastAsia="仿宋_GB2312" w:cs="仿宋_GB2312"/>
          <w:bCs/>
          <w:color w:val="auto"/>
          <w:szCs w:val="32"/>
          <w:highlight w:val="none"/>
        </w:rPr>
        <w:t>典型案例，通过示范引领和标杆带动，进一步放大政策效果，推动试点工作取得更大成效。</w:t>
      </w:r>
    </w:p>
    <w:p>
      <w:pPr>
        <w:keepNext w:val="0"/>
        <w:keepLines w:val="0"/>
        <w:pageBreakBefore w:val="0"/>
        <w:kinsoku/>
        <w:wordWrap/>
        <w:overflowPunct/>
        <w:topLinePunct w:val="0"/>
        <w:autoSpaceDE/>
        <w:autoSpaceDN/>
        <w:bidi w:val="0"/>
        <w:spacing w:line="560" w:lineRule="exact"/>
        <w:ind w:firstLine="640"/>
        <w:textAlignment w:val="auto"/>
        <w:outlineLvl w:val="0"/>
        <w:rPr>
          <w:rFonts w:hint="eastAsia" w:ascii="仿宋_GB2312" w:hAnsi="仿宋_GB2312" w:eastAsia="仿宋_GB2312" w:cs="仿宋_GB2312"/>
          <w:color w:val="auto"/>
          <w:highlight w:val="none"/>
        </w:rPr>
      </w:pPr>
    </w:p>
    <w:p>
      <w:pPr>
        <w:keepNext w:val="0"/>
        <w:keepLines w:val="0"/>
        <w:pageBreakBefore w:val="0"/>
        <w:kinsoku/>
        <w:wordWrap/>
        <w:overflowPunct/>
        <w:topLinePunct w:val="0"/>
        <w:autoSpaceDE/>
        <w:autoSpaceDN/>
        <w:bidi w:val="0"/>
        <w:spacing w:line="560" w:lineRule="exact"/>
        <w:ind w:firstLine="640"/>
        <w:textAlignment w:val="auto"/>
        <w:outlineLvl w:val="0"/>
        <w:rPr>
          <w:rFonts w:ascii="仿宋_GB2312" w:hAnsi="仿宋_GB2312" w:eastAsia="仿宋_GB2312" w:cs="仿宋_GB2312"/>
          <w:color w:val="auto"/>
          <w:spacing w:val="-6"/>
          <w:sz w:val="32"/>
          <w:highlight w:val="none"/>
        </w:rPr>
      </w:pPr>
      <w:r>
        <w:rPr>
          <w:rFonts w:hint="eastAsia" w:ascii="仿宋_GB2312" w:hAnsi="仿宋_GB2312" w:eastAsia="仿宋_GB2312" w:cs="仿宋_GB2312"/>
          <w:color w:val="auto"/>
          <w:spacing w:val="-6"/>
          <w:sz w:val="32"/>
          <w:highlight w:val="none"/>
        </w:rPr>
        <w:t>附件：1.沈阳市零售业创新提升试点城市实施方案任务分工</w:t>
      </w:r>
    </w:p>
    <w:p>
      <w:pPr>
        <w:keepNext w:val="0"/>
        <w:keepLines w:val="0"/>
        <w:pageBreakBefore w:val="0"/>
        <w:kinsoku/>
        <w:wordWrap/>
        <w:overflowPunct/>
        <w:topLinePunct w:val="0"/>
        <w:autoSpaceDE/>
        <w:autoSpaceDN/>
        <w:bidi w:val="0"/>
        <w:spacing w:line="560" w:lineRule="exact"/>
        <w:ind w:firstLine="1540" w:firstLineChars="500"/>
        <w:textAlignment w:val="auto"/>
        <w:outlineLvl w:val="0"/>
        <w:rPr>
          <w:rFonts w:ascii="仿宋_GB2312" w:hAnsi="仿宋_GB2312" w:eastAsia="仿宋_GB2312" w:cs="仿宋_GB2312"/>
          <w:color w:val="auto"/>
          <w:spacing w:val="-6"/>
          <w:sz w:val="32"/>
          <w:highlight w:val="none"/>
        </w:rPr>
      </w:pPr>
      <w:r>
        <w:rPr>
          <w:rFonts w:hint="eastAsia" w:ascii="仿宋_GB2312" w:hAnsi="仿宋_GB2312" w:eastAsia="仿宋_GB2312" w:cs="仿宋_GB2312"/>
          <w:color w:val="auto"/>
          <w:spacing w:val="-6"/>
          <w:sz w:val="32"/>
          <w:highlight w:val="none"/>
          <w:lang w:val="en-US" w:eastAsia="zh-CN"/>
        </w:rPr>
        <w:t>2</w:t>
      </w:r>
      <w:r>
        <w:rPr>
          <w:rFonts w:hint="eastAsia" w:ascii="仿宋_GB2312" w:hAnsi="仿宋_GB2312" w:eastAsia="仿宋_GB2312" w:cs="仿宋_GB2312"/>
          <w:color w:val="auto"/>
          <w:spacing w:val="-6"/>
          <w:sz w:val="32"/>
          <w:highlight w:val="none"/>
        </w:rPr>
        <w:t>.</w:t>
      </w:r>
      <w:r>
        <w:rPr>
          <w:rFonts w:hint="eastAsia" w:ascii="仿宋_GB2312" w:hAnsi="仿宋_GB2312" w:eastAsia="仿宋_GB2312" w:cs="仿宋_GB2312"/>
          <w:color w:val="auto"/>
          <w:spacing w:val="-6"/>
          <w:sz w:val="32"/>
          <w:highlight w:val="none"/>
          <w:lang w:eastAsia="zh-CN"/>
        </w:rPr>
        <w:t>沈阳市</w:t>
      </w:r>
      <w:r>
        <w:rPr>
          <w:rFonts w:hint="eastAsia" w:ascii="仿宋_GB2312" w:hAnsi="仿宋_GB2312" w:eastAsia="仿宋_GB2312" w:cs="仿宋_GB2312"/>
          <w:color w:val="auto"/>
          <w:spacing w:val="-6"/>
          <w:sz w:val="32"/>
          <w:highlight w:val="none"/>
        </w:rPr>
        <w:t>零售业创新提升试点城市更新改造项目标准</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仿宋_GB2312" w:hAnsi="仿宋_GB2312"/>
          <w:color w:val="auto"/>
          <w:highlight w:val="none"/>
        </w:rPr>
      </w:pPr>
      <w:bookmarkStart w:id="0" w:name="_GoBack"/>
      <w:bookmarkEnd w:id="0"/>
      <w:r>
        <w:rPr>
          <w:rFonts w:ascii="仿宋_GB2312" w:hAnsi="仿宋_GB2312"/>
          <w:color w:val="auto"/>
          <w:highlight w:val="none"/>
        </w:rPr>
        <w:br w:type="page"/>
      </w:r>
    </w:p>
    <w:p>
      <w:pPr>
        <w:pStyle w:val="51"/>
        <w:keepNext w:val="0"/>
        <w:keepLines w:val="0"/>
        <w:pageBreakBefore w:val="0"/>
        <w:kinsoku/>
        <w:wordWrap/>
        <w:overflowPunct/>
        <w:topLinePunct w:val="0"/>
        <w:autoSpaceDE/>
        <w:autoSpaceDN/>
        <w:bidi w:val="0"/>
        <w:spacing w:line="560" w:lineRule="exact"/>
        <w:ind w:firstLine="0" w:firstLineChars="0"/>
        <w:textAlignment w:val="auto"/>
        <w:rPr>
          <w:rFonts w:hint="eastAsia" w:ascii="黑体" w:hAnsi="黑体" w:eastAsia="黑体" w:cs="黑体"/>
          <w:color w:val="auto"/>
          <w:highlight w:val="none"/>
        </w:rPr>
      </w:pPr>
      <w:r>
        <w:rPr>
          <w:rFonts w:hint="eastAsia" w:ascii="楷体" w:hAnsi="楷体" w:eastAsia="楷体" w:cs="楷体"/>
          <w:color w:val="auto"/>
          <w:highlight w:val="none"/>
        </w:rPr>
        <w:t>附件1</w:t>
      </w:r>
    </w:p>
    <w:p>
      <w:pPr>
        <w:keepNext w:val="0"/>
        <w:keepLines w:val="0"/>
        <w:pageBreakBefore w:val="0"/>
        <w:kinsoku/>
        <w:wordWrap/>
        <w:overflowPunct/>
        <w:topLinePunct w:val="0"/>
        <w:autoSpaceDE/>
        <w:autoSpaceDN/>
        <w:bidi w:val="0"/>
        <w:spacing w:line="560" w:lineRule="exact"/>
        <w:ind w:firstLine="0" w:firstLineChars="0"/>
        <w:textAlignment w:val="auto"/>
        <w:rPr>
          <w:rFonts w:ascii="仿宋_GB2312" w:hAnsi="仿宋_GB2312"/>
          <w:color w:val="auto"/>
          <w:highlight w:val="none"/>
        </w:rPr>
      </w:pPr>
    </w:p>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方正小标宋简体" w:cs="方正小标宋简体"/>
          <w:color w:val="auto"/>
          <w:sz w:val="44"/>
          <w:szCs w:val="32"/>
          <w:highlight w:val="none"/>
        </w:rPr>
      </w:pPr>
      <w:r>
        <w:rPr>
          <w:rFonts w:hint="eastAsia" w:ascii="仿宋_GB2312" w:hAnsi="仿宋_GB2312" w:eastAsia="方正小标宋简体" w:cs="方正小标宋简体"/>
          <w:color w:val="auto"/>
          <w:sz w:val="44"/>
          <w:szCs w:val="32"/>
          <w:highlight w:val="none"/>
        </w:rPr>
        <w:t>沈阳市零售业创新提升试点城市</w:t>
      </w:r>
    </w:p>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方正小标宋简体" w:cs="方正小标宋简体"/>
          <w:color w:val="auto"/>
          <w:sz w:val="44"/>
          <w:szCs w:val="32"/>
          <w:highlight w:val="none"/>
        </w:rPr>
      </w:pPr>
      <w:r>
        <w:rPr>
          <w:rFonts w:hint="eastAsia" w:ascii="仿宋_GB2312" w:hAnsi="仿宋_GB2312" w:eastAsia="方正小标宋简体" w:cs="方正小标宋简体"/>
          <w:color w:val="auto"/>
          <w:sz w:val="44"/>
          <w:szCs w:val="32"/>
          <w:highlight w:val="none"/>
          <w:lang w:eastAsia="zh-CN"/>
        </w:rPr>
        <w:t>实施</w:t>
      </w:r>
      <w:r>
        <w:rPr>
          <w:rFonts w:hint="eastAsia" w:ascii="仿宋_GB2312" w:hAnsi="仿宋_GB2312" w:eastAsia="方正小标宋简体" w:cs="方正小标宋简体"/>
          <w:color w:val="auto"/>
          <w:sz w:val="44"/>
          <w:szCs w:val="32"/>
          <w:highlight w:val="none"/>
        </w:rPr>
        <w:t>方案任务分工</w:t>
      </w:r>
    </w:p>
    <w:p>
      <w:pPr>
        <w:keepNext w:val="0"/>
        <w:keepLines w:val="0"/>
        <w:pageBreakBefore w:val="0"/>
        <w:kinsoku/>
        <w:wordWrap/>
        <w:overflowPunct/>
        <w:topLinePunct w:val="0"/>
        <w:autoSpaceDE/>
        <w:autoSpaceDN/>
        <w:bidi w:val="0"/>
        <w:spacing w:line="560" w:lineRule="exact"/>
        <w:ind w:firstLine="640"/>
        <w:textAlignment w:val="auto"/>
        <w:rPr>
          <w:rFonts w:ascii="仿宋_GB2312" w:hAnsi="仿宋_GB2312"/>
          <w:color w:val="auto"/>
          <w:highlight w:val="none"/>
        </w:rPr>
      </w:pPr>
    </w:p>
    <w:p>
      <w:pPr>
        <w:pStyle w:val="51"/>
        <w:keepNext w:val="0"/>
        <w:keepLines w:val="0"/>
        <w:pageBreakBefore w:val="0"/>
        <w:kinsoku/>
        <w:wordWrap/>
        <w:overflowPunct/>
        <w:topLinePunct w:val="0"/>
        <w:autoSpaceDE/>
        <w:autoSpaceDN/>
        <w:bidi w:val="0"/>
        <w:spacing w:line="560" w:lineRule="exact"/>
        <w:ind w:firstLine="643"/>
        <w:textAlignment w:val="auto"/>
        <w:rPr>
          <w:rFonts w:ascii="仿宋_GB2312" w:hAnsi="仿宋_GB2312" w:eastAsia="仿宋_GB2312" w:cs="仿宋_GB2312"/>
          <w:color w:val="auto"/>
          <w:highlight w:val="none"/>
        </w:rPr>
      </w:pPr>
      <w:r>
        <w:rPr>
          <w:rFonts w:hint="eastAsia" w:ascii="仿宋_GB2312" w:hAnsi="仿宋_GB2312" w:eastAsia="楷体" w:cs="楷体"/>
          <w:b/>
          <w:bCs/>
          <w:color w:val="auto"/>
          <w:highlight w:val="none"/>
        </w:rPr>
        <w:t>市商务局：</w:t>
      </w:r>
      <w:r>
        <w:rPr>
          <w:rFonts w:hint="eastAsia" w:ascii="仿宋_GB2312" w:hAnsi="仿宋_GB2312" w:eastAsia="仿宋_GB2312" w:cs="仿宋_GB2312"/>
          <w:color w:val="auto"/>
          <w:highlight w:val="none"/>
        </w:rPr>
        <w:t>负责统筹推进沈阳市零售业创新提升试点建设各项工作。建立零售业创新提升试点工作机制、管理机制和考核机制。加强部门联动，会同发改、</w:t>
      </w:r>
      <w:r>
        <w:rPr>
          <w:rFonts w:hint="eastAsia" w:ascii="仿宋_GB2312" w:hAnsi="仿宋_GB2312" w:eastAsia="仿宋_GB2312" w:cs="仿宋_GB2312"/>
          <w:color w:val="auto"/>
          <w:highlight w:val="none"/>
          <w:lang w:eastAsia="zh-CN"/>
        </w:rPr>
        <w:t>财政、自然资源、</w:t>
      </w:r>
      <w:r>
        <w:rPr>
          <w:rFonts w:hint="eastAsia" w:ascii="仿宋_GB2312" w:hAnsi="仿宋_GB2312" w:eastAsia="仿宋_GB2312" w:cs="仿宋_GB2312"/>
          <w:color w:val="auto"/>
          <w:highlight w:val="none"/>
        </w:rPr>
        <w:t>城乡建设、文旅、市场监管、金融等部门制定落实支持政策。</w:t>
      </w:r>
    </w:p>
    <w:p>
      <w:pPr>
        <w:pStyle w:val="51"/>
        <w:keepNext w:val="0"/>
        <w:keepLines w:val="0"/>
        <w:pageBreakBefore w:val="0"/>
        <w:kinsoku/>
        <w:wordWrap/>
        <w:overflowPunct/>
        <w:topLinePunct w:val="0"/>
        <w:autoSpaceDE/>
        <w:autoSpaceDN/>
        <w:bidi w:val="0"/>
        <w:spacing w:line="560" w:lineRule="exact"/>
        <w:ind w:firstLine="643"/>
        <w:textAlignment w:val="auto"/>
        <w:rPr>
          <w:rFonts w:ascii="仿宋_GB2312" w:hAnsi="仿宋_GB2312" w:eastAsia="仿宋_GB2312" w:cs="仿宋_GB2312"/>
          <w:color w:val="auto"/>
          <w:highlight w:val="none"/>
        </w:rPr>
      </w:pPr>
      <w:r>
        <w:rPr>
          <w:rFonts w:hint="eastAsia" w:ascii="仿宋_GB2312" w:hAnsi="仿宋_GB2312" w:eastAsia="楷体" w:cs="楷体"/>
          <w:b/>
          <w:bCs/>
          <w:color w:val="auto"/>
          <w:highlight w:val="none"/>
        </w:rPr>
        <w:t>市</w:t>
      </w:r>
      <w:r>
        <w:rPr>
          <w:rFonts w:hint="eastAsia" w:ascii="仿宋_GB2312" w:hAnsi="仿宋_GB2312" w:eastAsia="楷体" w:cs="楷体"/>
          <w:b/>
          <w:bCs/>
          <w:color w:val="auto"/>
          <w:highlight w:val="none"/>
          <w:lang w:eastAsia="zh-CN"/>
        </w:rPr>
        <w:t>发展改革</w:t>
      </w:r>
      <w:r>
        <w:rPr>
          <w:rFonts w:hint="eastAsia" w:ascii="仿宋_GB2312" w:hAnsi="仿宋_GB2312" w:eastAsia="楷体" w:cs="楷体"/>
          <w:b/>
          <w:bCs/>
          <w:color w:val="auto"/>
          <w:highlight w:val="none"/>
        </w:rPr>
        <w:t>委：</w:t>
      </w:r>
      <w:r>
        <w:rPr>
          <w:rFonts w:hint="eastAsia" w:ascii="仿宋_GB2312" w:hAnsi="仿宋_GB2312" w:eastAsia="仿宋_GB2312" w:cs="仿宋_GB2312"/>
          <w:color w:val="auto"/>
          <w:highlight w:val="none"/>
        </w:rPr>
        <w:t>负责将零售业创新提升试点工作纳入全市服务业发展规划。协助市商务局做好全市零售业发展运行分析。协同市商务局协调推进零售业创新提升试点项目的立项、审批工作，做好项目前期工作指导，确保项目符合产业发展方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楷体" w:cs="楷体"/>
          <w:b/>
          <w:bCs/>
          <w:color w:val="auto"/>
          <w:highlight w:val="none"/>
          <w:lang w:eastAsia="zh-CN"/>
        </w:rPr>
        <w:t>市财政局：</w:t>
      </w:r>
      <w:r>
        <w:rPr>
          <w:rFonts w:hint="eastAsia" w:ascii="仿宋_GB2312" w:hAnsi="仿宋_GB2312" w:eastAsia="仿宋_GB2312" w:cs="仿宋_GB2312"/>
          <w:color w:val="auto"/>
          <w:highlight w:val="none"/>
          <w:lang w:eastAsia="zh-CN"/>
        </w:rPr>
        <w:t>负责</w:t>
      </w:r>
      <w:r>
        <w:rPr>
          <w:rFonts w:hint="eastAsia" w:ascii="仿宋_GB2312" w:hAnsi="仿宋_GB2312" w:eastAsia="仿宋_GB2312" w:cs="仿宋_GB2312"/>
          <w:color w:val="auto"/>
          <w:sz w:val="32"/>
          <w:szCs w:val="32"/>
          <w:highlight w:val="none"/>
          <w:lang w:val="en-US" w:eastAsia="zh-CN"/>
        </w:rPr>
        <w:t>统筹各类资金资源，做好市级资金保障工作。</w:t>
      </w:r>
    </w:p>
    <w:p>
      <w:pPr>
        <w:pStyle w:val="51"/>
        <w:keepNext w:val="0"/>
        <w:keepLines w:val="0"/>
        <w:pageBreakBefore w:val="0"/>
        <w:kinsoku/>
        <w:wordWrap/>
        <w:overflowPunct/>
        <w:topLinePunct w:val="0"/>
        <w:autoSpaceDE/>
        <w:autoSpaceDN/>
        <w:bidi w:val="0"/>
        <w:spacing w:line="560" w:lineRule="exact"/>
        <w:ind w:firstLine="643"/>
        <w:textAlignment w:val="auto"/>
        <w:rPr>
          <w:rFonts w:ascii="仿宋_GB2312" w:hAnsi="仿宋_GB2312" w:eastAsia="楷体" w:cs="楷体"/>
          <w:b/>
          <w:bCs/>
          <w:color w:val="auto"/>
          <w:highlight w:val="none"/>
        </w:rPr>
      </w:pPr>
      <w:r>
        <w:rPr>
          <w:rFonts w:hint="eastAsia" w:ascii="仿宋_GB2312" w:hAnsi="仿宋_GB2312" w:eastAsia="楷体" w:cs="楷体"/>
          <w:b/>
          <w:bCs/>
          <w:color w:val="auto"/>
          <w:highlight w:val="none"/>
        </w:rPr>
        <w:t>市自然资源局：</w:t>
      </w:r>
      <w:r>
        <w:rPr>
          <w:rFonts w:hint="eastAsia" w:ascii="仿宋_GB2312" w:hAnsi="仿宋_GB2312" w:eastAsia="仿宋_GB2312" w:cs="仿宋_GB2312"/>
          <w:color w:val="auto"/>
          <w:highlight w:val="none"/>
        </w:rPr>
        <w:t>负责做好零售业创新提升试点有关项目规划、改造审批、土地用途变更等审批及相关工作。</w:t>
      </w:r>
    </w:p>
    <w:p>
      <w:pPr>
        <w:pStyle w:val="51"/>
        <w:keepNext w:val="0"/>
        <w:keepLines w:val="0"/>
        <w:pageBreakBefore w:val="0"/>
        <w:kinsoku/>
        <w:wordWrap/>
        <w:overflowPunct/>
        <w:topLinePunct w:val="0"/>
        <w:autoSpaceDE/>
        <w:autoSpaceDN/>
        <w:bidi w:val="0"/>
        <w:spacing w:line="560" w:lineRule="exact"/>
        <w:ind w:firstLine="643"/>
        <w:textAlignment w:val="auto"/>
        <w:rPr>
          <w:rFonts w:ascii="仿宋_GB2312" w:hAnsi="仿宋_GB2312" w:eastAsia="仿宋_GB2312" w:cs="仿宋_GB2312"/>
          <w:color w:val="auto"/>
          <w:highlight w:val="none"/>
        </w:rPr>
      </w:pPr>
      <w:r>
        <w:rPr>
          <w:rFonts w:hint="eastAsia" w:ascii="仿宋_GB2312" w:hAnsi="仿宋_GB2312" w:eastAsia="楷体" w:cs="楷体"/>
          <w:b/>
          <w:bCs/>
          <w:color w:val="auto"/>
          <w:highlight w:val="none"/>
        </w:rPr>
        <w:t>市城乡建设局：</w:t>
      </w:r>
      <w:r>
        <w:rPr>
          <w:rFonts w:hint="eastAsia" w:ascii="仿宋_GB2312" w:hAnsi="仿宋_GB2312" w:eastAsia="仿宋_GB2312" w:cs="仿宋_GB2312"/>
          <w:color w:val="auto"/>
          <w:highlight w:val="none"/>
        </w:rPr>
        <w:t>指导属地对于办理施工手续的零售业创新提升试点项目建设过程中加强监管，确保工程质量、安全符合相关标准和要求。负责在职责范围内指导零售业创新提升试点项目属地及相关企业开展城市基础设施建设和改造工作。</w:t>
      </w:r>
    </w:p>
    <w:p>
      <w:pPr>
        <w:pStyle w:val="51"/>
        <w:keepNext w:val="0"/>
        <w:keepLines w:val="0"/>
        <w:pageBreakBefore w:val="0"/>
        <w:kinsoku/>
        <w:wordWrap/>
        <w:overflowPunct/>
        <w:topLinePunct w:val="0"/>
        <w:autoSpaceDE/>
        <w:autoSpaceDN/>
        <w:bidi w:val="0"/>
        <w:spacing w:line="560" w:lineRule="exact"/>
        <w:ind w:firstLine="643"/>
        <w:textAlignment w:val="auto"/>
        <w:rPr>
          <w:rFonts w:ascii="仿宋_GB2312" w:hAnsi="仿宋_GB2312" w:eastAsia="仿宋_GB2312" w:cs="仿宋_GB2312"/>
          <w:color w:val="auto"/>
          <w:highlight w:val="none"/>
        </w:rPr>
      </w:pPr>
      <w:r>
        <w:rPr>
          <w:rFonts w:hint="eastAsia" w:ascii="仿宋_GB2312" w:hAnsi="仿宋_GB2312" w:eastAsia="楷体" w:cs="楷体"/>
          <w:b/>
          <w:bCs/>
          <w:color w:val="auto"/>
          <w:highlight w:val="none"/>
        </w:rPr>
        <w:t>市文旅</w:t>
      </w:r>
      <w:r>
        <w:rPr>
          <w:rFonts w:hint="eastAsia" w:ascii="仿宋_GB2312" w:hAnsi="仿宋_GB2312" w:eastAsia="楷体" w:cs="楷体"/>
          <w:b/>
          <w:bCs/>
          <w:color w:val="auto"/>
          <w:highlight w:val="none"/>
          <w:lang w:eastAsia="zh-CN"/>
        </w:rPr>
        <w:t>广电</w:t>
      </w:r>
      <w:r>
        <w:rPr>
          <w:rFonts w:hint="eastAsia" w:ascii="仿宋_GB2312" w:hAnsi="仿宋_GB2312" w:eastAsia="楷体" w:cs="楷体"/>
          <w:b/>
          <w:bCs/>
          <w:color w:val="auto"/>
          <w:highlight w:val="none"/>
        </w:rPr>
        <w:t>局：</w:t>
      </w:r>
      <w:r>
        <w:rPr>
          <w:rFonts w:hint="eastAsia" w:ascii="仿宋_GB2312" w:hAnsi="仿宋_GB2312" w:eastAsia="仿宋_GB2312" w:cs="仿宋_GB2312"/>
          <w:color w:val="auto"/>
          <w:highlight w:val="none"/>
        </w:rPr>
        <w:t>协同市商务局推动文化旅游与零售业融合发展，深度挖掘沈阳文化元素，打造文化旅游消费新场景，推动“文化+”与零售业态的深度融合，提升零售业的文化内涵和吸引力。负责组织策划与零售业创新提升相关的文化旅游活动，丰富消费者的文化体验，提升零售业的文化附加值。加强文化旅游与零售业的宣传推广，提高零售业创新提升试点项目的知名度和影响力。</w:t>
      </w:r>
    </w:p>
    <w:p>
      <w:pPr>
        <w:pStyle w:val="51"/>
        <w:keepNext w:val="0"/>
        <w:keepLines w:val="0"/>
        <w:pageBreakBefore w:val="0"/>
        <w:kinsoku/>
        <w:wordWrap/>
        <w:overflowPunct/>
        <w:topLinePunct w:val="0"/>
        <w:autoSpaceDE/>
        <w:autoSpaceDN/>
        <w:bidi w:val="0"/>
        <w:spacing w:line="560" w:lineRule="exact"/>
        <w:ind w:firstLine="643"/>
        <w:textAlignment w:val="auto"/>
        <w:rPr>
          <w:rFonts w:ascii="仿宋_GB2312" w:hAnsi="仿宋_GB2312" w:eastAsia="仿宋_GB2312" w:cs="仿宋_GB2312"/>
          <w:color w:val="auto"/>
          <w:highlight w:val="none"/>
        </w:rPr>
      </w:pPr>
      <w:r>
        <w:rPr>
          <w:rFonts w:hint="eastAsia" w:ascii="仿宋_GB2312" w:hAnsi="仿宋_GB2312" w:eastAsia="楷体" w:cs="楷体"/>
          <w:b/>
          <w:bCs/>
          <w:color w:val="auto"/>
          <w:highlight w:val="none"/>
        </w:rPr>
        <w:t>市市场监管局：</w:t>
      </w:r>
      <w:r>
        <w:rPr>
          <w:rFonts w:hint="eastAsia" w:ascii="仿宋_GB2312" w:hAnsi="仿宋_GB2312" w:eastAsia="仿宋_GB2312" w:cs="仿宋_GB2312"/>
          <w:color w:val="auto"/>
          <w:highlight w:val="none"/>
        </w:rPr>
        <w:t>负责指导零售业创新提升试点项目做好食品安全、药品安全等方面的监管工作，加强市场秩序维护，确保消费者安全。加强零售业创新提升试点项目中的知识产权保护工作，鼓励创新，促进零售业创新发展。</w:t>
      </w:r>
    </w:p>
    <w:p>
      <w:pPr>
        <w:pStyle w:val="51"/>
        <w:keepNext w:val="0"/>
        <w:keepLines w:val="0"/>
        <w:pageBreakBefore w:val="0"/>
        <w:kinsoku/>
        <w:wordWrap/>
        <w:overflowPunct/>
        <w:topLinePunct w:val="0"/>
        <w:autoSpaceDE/>
        <w:autoSpaceDN/>
        <w:bidi w:val="0"/>
        <w:spacing w:line="560" w:lineRule="exact"/>
        <w:ind w:firstLine="643"/>
        <w:textAlignment w:val="auto"/>
        <w:rPr>
          <w:rFonts w:ascii="仿宋_GB2312" w:hAnsi="仿宋_GB2312" w:eastAsia="仿宋_GB2312" w:cs="仿宋_GB2312"/>
          <w:color w:val="auto"/>
          <w:highlight w:val="none"/>
        </w:rPr>
      </w:pPr>
      <w:r>
        <w:rPr>
          <w:rFonts w:hint="eastAsia" w:ascii="仿宋_GB2312" w:hAnsi="仿宋_GB2312" w:eastAsia="楷体" w:cs="楷体"/>
          <w:b/>
          <w:bCs/>
          <w:color w:val="auto"/>
          <w:highlight w:val="none"/>
        </w:rPr>
        <w:t>市委金融办：</w:t>
      </w:r>
      <w:r>
        <w:rPr>
          <w:rFonts w:hint="eastAsia" w:ascii="仿宋_GB2312" w:hAnsi="仿宋_GB2312" w:eastAsia="仿宋_GB2312"/>
          <w:color w:val="auto"/>
          <w:highlight w:val="none"/>
        </w:rPr>
        <w:t>负责协助相关部门做好零售业创新提升试点项目与驻沈金融机构的对接。引导金融机构有针对性地提供金融产品和服务，加大对重点项目的金融支持。</w:t>
      </w:r>
    </w:p>
    <w:p>
      <w:pPr>
        <w:keepNext w:val="0"/>
        <w:keepLines w:val="0"/>
        <w:pageBreakBefore w:val="0"/>
        <w:kinsoku/>
        <w:wordWrap/>
        <w:overflowPunct/>
        <w:topLinePunct w:val="0"/>
        <w:autoSpaceDE/>
        <w:autoSpaceDN/>
        <w:bidi w:val="0"/>
        <w:spacing w:line="560" w:lineRule="exact"/>
        <w:ind w:firstLine="643"/>
        <w:textAlignment w:val="auto"/>
        <w:rPr>
          <w:rFonts w:ascii="仿宋_GB2312" w:hAnsi="仿宋_GB2312" w:eastAsia="仿宋_GB2312" w:cs="仿宋_GB2312"/>
          <w:color w:val="auto"/>
          <w:highlight w:val="none"/>
        </w:rPr>
      </w:pPr>
      <w:r>
        <w:rPr>
          <w:rFonts w:hint="eastAsia" w:ascii="仿宋_GB2312" w:hAnsi="仿宋_GB2312" w:eastAsia="楷体" w:cs="楷体"/>
          <w:b/>
          <w:bCs/>
          <w:color w:val="auto"/>
          <w:szCs w:val="32"/>
          <w:highlight w:val="none"/>
        </w:rPr>
        <w:t>各区、县（市）：</w:t>
      </w:r>
      <w:r>
        <w:rPr>
          <w:rFonts w:hint="eastAsia" w:ascii="仿宋_GB2312" w:hAnsi="仿宋_GB2312" w:eastAsia="仿宋_GB2312" w:cs="仿宋_GB2312"/>
          <w:color w:val="auto"/>
          <w:highlight w:val="none"/>
        </w:rPr>
        <w:t>负责摸清本地区存量零售商业设施、项目资源基本情况，统筹指导本地区商业经营主体挖掘提升改造项目，“一店一策”实施改造，项目化、清单化推进落实试点工作。</w:t>
      </w:r>
    </w:p>
    <w:p>
      <w:pPr>
        <w:keepNext w:val="0"/>
        <w:keepLines w:val="0"/>
        <w:pageBreakBefore w:val="0"/>
        <w:kinsoku/>
        <w:wordWrap/>
        <w:overflowPunct/>
        <w:topLinePunct w:val="0"/>
        <w:autoSpaceDE/>
        <w:autoSpaceDN/>
        <w:bidi w:val="0"/>
        <w:spacing w:line="560" w:lineRule="exact"/>
        <w:ind w:firstLine="640"/>
        <w:textAlignment w:val="auto"/>
        <w:rPr>
          <w:rFonts w:ascii="仿宋_GB2312" w:hAnsi="仿宋_GB2312" w:eastAsia="仿宋_GB2312" w:cs="仿宋_GB2312"/>
          <w:color w:val="auto"/>
          <w:highlight w:val="none"/>
        </w:rPr>
      </w:pPr>
    </w:p>
    <w:p>
      <w:pPr>
        <w:keepNext w:val="0"/>
        <w:keepLines w:val="0"/>
        <w:pageBreakBefore w:val="0"/>
        <w:kinsoku/>
        <w:wordWrap/>
        <w:overflowPunct/>
        <w:topLinePunct w:val="0"/>
        <w:autoSpaceDE/>
        <w:autoSpaceDN/>
        <w:bidi w:val="0"/>
        <w:spacing w:line="560" w:lineRule="exact"/>
        <w:ind w:firstLine="640"/>
        <w:textAlignment w:val="auto"/>
        <w:rPr>
          <w:rFonts w:ascii="仿宋_GB2312" w:hAnsi="仿宋_GB2312"/>
          <w:color w:val="auto"/>
          <w:highlight w:val="none"/>
        </w:rPr>
      </w:pPr>
      <w:r>
        <w:rPr>
          <w:rFonts w:hint="eastAsia" w:ascii="仿宋_GB2312" w:hAnsi="仿宋_GB2312"/>
          <w:color w:val="auto"/>
          <w:highlight w:val="none"/>
        </w:rPr>
        <w:br w:type="page"/>
      </w:r>
    </w:p>
    <w:p>
      <w:pPr>
        <w:pStyle w:val="51"/>
        <w:keepNext w:val="0"/>
        <w:keepLines w:val="0"/>
        <w:pageBreakBefore w:val="0"/>
        <w:kinsoku/>
        <w:wordWrap/>
        <w:overflowPunct/>
        <w:topLinePunct w:val="0"/>
        <w:autoSpaceDE/>
        <w:autoSpaceDN/>
        <w:bidi w:val="0"/>
        <w:spacing w:line="560" w:lineRule="exact"/>
        <w:ind w:firstLine="0" w:firstLineChars="0"/>
        <w:textAlignment w:val="auto"/>
        <w:rPr>
          <w:rFonts w:hint="eastAsia" w:ascii="楷体" w:hAnsi="楷体" w:eastAsia="楷体" w:cs="楷体"/>
          <w:color w:val="auto"/>
          <w:highlight w:val="none"/>
        </w:rPr>
      </w:pPr>
      <w:r>
        <w:rPr>
          <w:rFonts w:hint="eastAsia" w:ascii="楷体" w:hAnsi="楷体" w:eastAsia="楷体" w:cs="楷体"/>
          <w:color w:val="auto"/>
          <w:highlight w:val="none"/>
        </w:rPr>
        <w:t>附件2</w:t>
      </w:r>
    </w:p>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方正小标宋简体" w:cs="方正小标宋简体"/>
          <w:color w:val="auto"/>
          <w:sz w:val="44"/>
          <w:szCs w:val="44"/>
          <w:highlight w:val="none"/>
        </w:rPr>
      </w:pPr>
      <w:r>
        <w:rPr>
          <w:rFonts w:hint="eastAsia" w:ascii="仿宋_GB2312" w:hAnsi="仿宋_GB2312" w:eastAsia="方正小标宋简体" w:cs="方正小标宋简体"/>
          <w:color w:val="auto"/>
          <w:sz w:val="44"/>
          <w:szCs w:val="44"/>
          <w:highlight w:val="none"/>
        </w:rPr>
        <w:t>沈阳市零售业创新提升试点城市</w:t>
      </w:r>
    </w:p>
    <w:p>
      <w:pPr>
        <w:keepNext w:val="0"/>
        <w:keepLines w:val="0"/>
        <w:pageBreakBefore w:val="0"/>
        <w:kinsoku/>
        <w:wordWrap/>
        <w:overflowPunct/>
        <w:topLinePunct w:val="0"/>
        <w:autoSpaceDE/>
        <w:autoSpaceDN/>
        <w:bidi w:val="0"/>
        <w:spacing w:line="560" w:lineRule="exact"/>
        <w:ind w:firstLine="0" w:firstLineChars="0"/>
        <w:jc w:val="center"/>
        <w:textAlignment w:val="auto"/>
        <w:rPr>
          <w:rFonts w:ascii="仿宋_GB2312" w:hAnsi="仿宋_GB2312" w:eastAsia="方正小标宋简体" w:cs="方正小标宋简体"/>
          <w:color w:val="auto"/>
          <w:sz w:val="44"/>
          <w:szCs w:val="44"/>
          <w:highlight w:val="none"/>
        </w:rPr>
      </w:pPr>
      <w:r>
        <w:rPr>
          <w:rFonts w:hint="eastAsia" w:ascii="仿宋_GB2312" w:hAnsi="仿宋_GB2312" w:eastAsia="方正小标宋简体" w:cs="方正小标宋简体"/>
          <w:color w:val="auto"/>
          <w:sz w:val="44"/>
          <w:szCs w:val="44"/>
          <w:highlight w:val="none"/>
        </w:rPr>
        <w:t>更新改造项目标准</w:t>
      </w:r>
    </w:p>
    <w:p>
      <w:pPr>
        <w:keepNext w:val="0"/>
        <w:keepLines w:val="0"/>
        <w:pageBreakBefore w:val="0"/>
        <w:kinsoku/>
        <w:wordWrap/>
        <w:overflowPunct/>
        <w:topLinePunct w:val="0"/>
        <w:autoSpaceDE/>
        <w:autoSpaceDN/>
        <w:bidi w:val="0"/>
        <w:spacing w:line="560" w:lineRule="exact"/>
        <w:ind w:firstLine="643"/>
        <w:textAlignment w:val="auto"/>
        <w:rPr>
          <w:rFonts w:ascii="仿宋_GB2312" w:hAnsi="仿宋_GB2312" w:eastAsia="黑体"/>
          <w:b/>
          <w:bCs/>
          <w:color w:val="auto"/>
          <w:highlight w:val="none"/>
        </w:rPr>
      </w:pPr>
    </w:p>
    <w:p>
      <w:pPr>
        <w:keepNext w:val="0"/>
        <w:keepLines w:val="0"/>
        <w:pageBreakBefore w:val="0"/>
        <w:kinsoku/>
        <w:wordWrap/>
        <w:overflowPunct/>
        <w:topLinePunct w:val="0"/>
        <w:autoSpaceDE/>
        <w:autoSpaceDN/>
        <w:bidi w:val="0"/>
        <w:spacing w:line="560" w:lineRule="exact"/>
        <w:ind w:firstLine="640"/>
        <w:textAlignment w:val="auto"/>
        <w:rPr>
          <w:rFonts w:ascii="仿宋_GB2312" w:hAnsi="仿宋_GB2312" w:eastAsia="黑体"/>
          <w:color w:val="auto"/>
          <w:highlight w:val="none"/>
        </w:rPr>
      </w:pPr>
      <w:r>
        <w:rPr>
          <w:rFonts w:hint="eastAsia" w:ascii="仿宋_GB2312" w:hAnsi="仿宋_GB2312" w:eastAsia="黑体"/>
          <w:color w:val="auto"/>
          <w:highlight w:val="none"/>
        </w:rPr>
        <w:t>一、拟改造提升对象及要求</w:t>
      </w:r>
    </w:p>
    <w:p>
      <w:pPr>
        <w:keepNext w:val="0"/>
        <w:keepLines w:val="0"/>
        <w:pageBreakBefore w:val="0"/>
        <w:kinsoku/>
        <w:wordWrap/>
        <w:overflowPunct/>
        <w:topLinePunct w:val="0"/>
        <w:autoSpaceDE/>
        <w:autoSpaceDN/>
        <w:bidi w:val="0"/>
        <w:spacing w:line="560" w:lineRule="exact"/>
        <w:ind w:firstLine="640"/>
        <w:textAlignment w:val="auto"/>
        <w:rPr>
          <w:rFonts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沈阳市域范围内百货店、购物中心、超市、社区商业中心等零售商业设施。重点考虑交通枢纽、景区、商圈、步行街、写字楼集聚区等人流密集区域的商业设施，影响力大、设施老化的历史地标性商业设施，居民集中、消费需求旺盛的社区商业设施。</w:t>
      </w:r>
    </w:p>
    <w:p>
      <w:pPr>
        <w:keepNext w:val="0"/>
        <w:keepLines w:val="0"/>
        <w:pageBreakBefore w:val="0"/>
        <w:kinsoku/>
        <w:wordWrap/>
        <w:overflowPunct/>
        <w:topLinePunct w:val="0"/>
        <w:autoSpaceDE/>
        <w:autoSpaceDN/>
        <w:bidi w:val="0"/>
        <w:spacing w:line="560" w:lineRule="exact"/>
        <w:ind w:firstLine="640"/>
        <w:textAlignment w:val="auto"/>
        <w:rPr>
          <w:rFonts w:ascii="仿宋_GB2312" w:hAnsi="仿宋_GB2312" w:eastAsia="黑体"/>
          <w:color w:val="auto"/>
          <w:highlight w:val="none"/>
        </w:rPr>
      </w:pPr>
      <w:r>
        <w:rPr>
          <w:rFonts w:hint="eastAsia" w:ascii="仿宋_GB2312" w:hAnsi="仿宋_GB2312" w:eastAsia="黑体"/>
          <w:color w:val="auto"/>
          <w:highlight w:val="none"/>
        </w:rPr>
        <w:t>二、拟改造提升方向及规模要求</w:t>
      </w:r>
    </w:p>
    <w:p>
      <w:pPr>
        <w:keepNext w:val="0"/>
        <w:keepLines w:val="0"/>
        <w:pageBreakBefore w:val="0"/>
        <w:kinsoku/>
        <w:wordWrap/>
        <w:overflowPunct/>
        <w:topLinePunct w:val="0"/>
        <w:autoSpaceDE/>
        <w:autoSpaceDN/>
        <w:bidi w:val="0"/>
        <w:spacing w:line="560" w:lineRule="exact"/>
        <w:ind w:firstLine="640"/>
        <w:textAlignment w:val="auto"/>
        <w:rPr>
          <w:rFonts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包含但不限于改造成为超市、百货店、购物中心、菜市场等零售商业，以及商文旅体融合的消费新场景。</w:t>
      </w:r>
    </w:p>
    <w:p>
      <w:pPr>
        <w:keepNext w:val="0"/>
        <w:keepLines w:val="0"/>
        <w:pageBreakBefore w:val="0"/>
        <w:kinsoku/>
        <w:wordWrap/>
        <w:overflowPunct/>
        <w:topLinePunct w:val="0"/>
        <w:autoSpaceDE/>
        <w:autoSpaceDN/>
        <w:bidi w:val="0"/>
        <w:spacing w:line="560" w:lineRule="exact"/>
        <w:ind w:firstLine="640"/>
        <w:textAlignment w:val="auto"/>
        <w:rPr>
          <w:rFonts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1.改造为都市型、区域型购物中心或商文旅综合体，满足不同收入水平顾客的一站式消费需求，配套购物、餐饮、休闲娱乐、商务社交等多元化服务，建筑面积不低于5万平方米；</w:t>
      </w:r>
    </w:p>
    <w:p>
      <w:pPr>
        <w:keepNext w:val="0"/>
        <w:keepLines w:val="0"/>
        <w:pageBreakBefore w:val="0"/>
        <w:kinsoku/>
        <w:wordWrap/>
        <w:overflowPunct/>
        <w:topLinePunct w:val="0"/>
        <w:autoSpaceDE/>
        <w:autoSpaceDN/>
        <w:bidi w:val="0"/>
        <w:spacing w:line="560" w:lineRule="exact"/>
        <w:ind w:firstLine="640"/>
        <w:textAlignment w:val="auto"/>
        <w:rPr>
          <w:rFonts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2.改造为社区型购物中心（邻里中心）的，满足周边居民日常生活所需，配备必要的餐饮和休闲娱乐设施，建筑面积为1万至5万平方米；</w:t>
      </w:r>
    </w:p>
    <w:p>
      <w:pPr>
        <w:keepNext w:val="0"/>
        <w:keepLines w:val="0"/>
        <w:pageBreakBefore w:val="0"/>
        <w:kinsoku/>
        <w:wordWrap/>
        <w:overflowPunct/>
        <w:topLinePunct w:val="0"/>
        <w:autoSpaceDE/>
        <w:autoSpaceDN/>
        <w:bidi w:val="0"/>
        <w:spacing w:line="560" w:lineRule="exact"/>
        <w:ind w:firstLine="640"/>
        <w:textAlignment w:val="auto"/>
        <w:rPr>
          <w:rFonts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3.改造为百货店或以百货业态为主的类购物中心的，统一规划不同类型的零售、餐饮、休闲娱乐商铺，满足顾客对品质商品多样化需求，建筑面积不低于3万平方米；</w:t>
      </w:r>
    </w:p>
    <w:p>
      <w:pPr>
        <w:keepNext w:val="0"/>
        <w:keepLines w:val="0"/>
        <w:pageBreakBefore w:val="0"/>
        <w:kinsoku/>
        <w:wordWrap/>
        <w:overflowPunct/>
        <w:topLinePunct w:val="0"/>
        <w:autoSpaceDE/>
        <w:autoSpaceDN/>
        <w:bidi w:val="0"/>
        <w:spacing w:line="560" w:lineRule="exact"/>
        <w:ind w:firstLine="640"/>
        <w:textAlignment w:val="auto"/>
        <w:rPr>
          <w:rFonts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4.改造为社区商业中心、社区便民服务中心的，满足居民餐饮、购物、维修、美容美发等多种与居民生活密切相关的服务的需求，建筑面积为3000至1万平方米；</w:t>
      </w:r>
    </w:p>
    <w:p>
      <w:pPr>
        <w:keepNext w:val="0"/>
        <w:keepLines w:val="0"/>
        <w:pageBreakBefore w:val="0"/>
        <w:kinsoku/>
        <w:wordWrap/>
        <w:overflowPunct/>
        <w:topLinePunct w:val="0"/>
        <w:autoSpaceDE/>
        <w:autoSpaceDN/>
        <w:bidi w:val="0"/>
        <w:spacing w:line="560" w:lineRule="exact"/>
        <w:ind w:firstLine="640"/>
        <w:textAlignment w:val="auto"/>
        <w:rPr>
          <w:rFonts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5.改造为超市、仓储会员店的，配置种类丰富的商品，满足一站式购物需求，建筑面积不低于6000平方米；</w:t>
      </w:r>
    </w:p>
    <w:p>
      <w:pPr>
        <w:keepNext w:val="0"/>
        <w:keepLines w:val="0"/>
        <w:pageBreakBefore w:val="0"/>
        <w:kinsoku/>
        <w:wordWrap/>
        <w:overflowPunct/>
        <w:topLinePunct w:val="0"/>
        <w:autoSpaceDE/>
        <w:autoSpaceDN/>
        <w:bidi w:val="0"/>
        <w:spacing w:line="560" w:lineRule="exact"/>
        <w:ind w:firstLine="640"/>
        <w:textAlignment w:val="auto"/>
        <w:rPr>
          <w:rFonts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6.改造为标准化农贸市场（菜市场）的，引入现代化管理理念和智慧化手段，实施规范化管理，打造高标准智慧农贸市场，建筑面积不低于3000平方米。</w:t>
      </w:r>
    </w:p>
    <w:p>
      <w:pPr>
        <w:keepNext w:val="0"/>
        <w:keepLines w:val="0"/>
        <w:pageBreakBefore w:val="0"/>
        <w:kinsoku/>
        <w:wordWrap/>
        <w:overflowPunct/>
        <w:topLinePunct w:val="0"/>
        <w:autoSpaceDE/>
        <w:autoSpaceDN/>
        <w:bidi w:val="0"/>
        <w:spacing w:line="560" w:lineRule="exact"/>
        <w:ind w:firstLine="640"/>
        <w:textAlignment w:val="auto"/>
        <w:rPr>
          <w:rFonts w:ascii="仿宋_GB2312" w:hAnsi="仿宋_GB2312" w:eastAsia="黑体"/>
          <w:color w:val="auto"/>
          <w:highlight w:val="none"/>
        </w:rPr>
      </w:pPr>
      <w:r>
        <w:rPr>
          <w:rFonts w:hint="eastAsia" w:ascii="仿宋_GB2312" w:hAnsi="仿宋_GB2312" w:eastAsia="黑体"/>
          <w:color w:val="auto"/>
          <w:highlight w:val="none"/>
        </w:rPr>
        <w:t>三、主要提升改造内容要求</w:t>
      </w:r>
    </w:p>
    <w:p>
      <w:pPr>
        <w:keepNext w:val="0"/>
        <w:keepLines w:val="0"/>
        <w:pageBreakBefore w:val="0"/>
        <w:kinsoku/>
        <w:wordWrap/>
        <w:overflowPunct/>
        <w:topLinePunct w:val="0"/>
        <w:autoSpaceDE/>
        <w:autoSpaceDN/>
        <w:bidi w:val="0"/>
        <w:spacing w:line="560" w:lineRule="exact"/>
        <w:ind w:firstLine="640"/>
        <w:textAlignment w:val="auto"/>
        <w:rPr>
          <w:rFonts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遵循“一店一策”原则，具体改造内容包括：</w:t>
      </w:r>
    </w:p>
    <w:p>
      <w:pPr>
        <w:keepNext w:val="0"/>
        <w:keepLines w:val="0"/>
        <w:pageBreakBefore w:val="0"/>
        <w:kinsoku/>
        <w:wordWrap/>
        <w:overflowPunct/>
        <w:topLinePunct w:val="0"/>
        <w:autoSpaceDE/>
        <w:autoSpaceDN/>
        <w:bidi w:val="0"/>
        <w:spacing w:line="560" w:lineRule="exact"/>
        <w:ind w:firstLine="640"/>
        <w:textAlignment w:val="auto"/>
        <w:rPr>
          <w:rFonts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1.建筑主体改造。包括商业风貌塑造（建筑风格、立面照明、户外广告）、内部空间重构（合理布局空间功能、高效用好地下空间、创意设计内部装修）、建筑结构加固、机电设施设备改造等。</w:t>
      </w:r>
    </w:p>
    <w:p>
      <w:pPr>
        <w:keepNext w:val="0"/>
        <w:keepLines w:val="0"/>
        <w:pageBreakBefore w:val="0"/>
        <w:kinsoku/>
        <w:wordWrap/>
        <w:overflowPunct/>
        <w:topLinePunct w:val="0"/>
        <w:autoSpaceDE/>
        <w:autoSpaceDN/>
        <w:bidi w:val="0"/>
        <w:spacing w:line="560" w:lineRule="exact"/>
        <w:ind w:firstLine="640"/>
        <w:textAlignment w:val="auto"/>
        <w:rPr>
          <w:rFonts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2.场地环境优化。包括优化交通组织、完善停车系统、营造消费新场景、增设物品和宠物寄存柜及洗手池等。</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3.专项系统升级。包括消防安全、智慧应用、导视系统、绿色低碳、无障碍设施等设施系统升级。</w:t>
      </w:r>
    </w:p>
    <w:p>
      <w:pPr>
        <w:rPr>
          <w:rFonts w:ascii="仿宋_GB2312" w:hAnsi="仿宋_GB2312"/>
          <w:color w:val="auto"/>
          <w:highlight w:val="none"/>
        </w:rPr>
      </w:pPr>
    </w:p>
    <w:sectPr>
      <w:headerReference r:id="rId5" w:type="default"/>
      <w:footerReference r:id="rId6" w:type="default"/>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仿宋_GB2312">
    <w:panose1 w:val="02010609030101010101"/>
    <w:charset w:val="86"/>
    <w:family w:val="auto"/>
    <w:pitch w:val="default"/>
    <w:sig w:usb0="00000001" w:usb1="080E0000" w:usb2="00000000" w:usb3="00000000" w:csb0="00040000" w:csb1="00000000"/>
  </w:font>
  <w:font w:name="Tahoma">
    <w:altName w:val="Droid Sans"/>
    <w:panose1 w:val="020B0604030504040204"/>
    <w:charset w:val="00"/>
    <w:family w:val="swiss"/>
    <w:pitch w:val="default"/>
    <w:sig w:usb0="00000000" w:usb1="00000000" w:usb2="00000029" w:usb3="00000000" w:csb0="200101FF" w:csb1="20280000"/>
  </w:font>
  <w:font w:name="Droid Sans">
    <w:panose1 w:val="020B0606030804020204"/>
    <w:charset w:val="00"/>
    <w:family w:val="auto"/>
    <w:pitch w:val="default"/>
    <w:sig w:usb0="E00002EF" w:usb1="4000205B" w:usb2="00000028" w:usb3="00000000" w:csb0="2000019F" w:csb1="00000000"/>
  </w:font>
  <w:font w:name="微软雅黑">
    <w:altName w:val="黑体"/>
    <w:panose1 w:val="020B0503020204020204"/>
    <w:charset w:val="86"/>
    <w:family w:val="swiss"/>
    <w:pitch w:val="default"/>
    <w:sig w:usb0="00000000" w:usb1="0000000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
    <w:panose1 w:val="00000000000000000000"/>
    <w:charset w:val="00"/>
    <w:family w:val="auto"/>
    <w:pitch w:val="default"/>
    <w:sig w:usb0="00000000" w:usb1="00000000" w:usb2="00000000" w:usb3="00000000" w:csb0="00000000" w:csb1="00000000"/>
  </w:font>
  <w:font w:name="等线 Light">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MIkSXj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1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p>
    <w:pPr>
      <w:pStyle w:val="1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hideSpellingErrors/>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FFF"/>
    <w:rsid w:val="000014DF"/>
    <w:rsid w:val="000215E7"/>
    <w:rsid w:val="0002698B"/>
    <w:rsid w:val="000347BC"/>
    <w:rsid w:val="0003513E"/>
    <w:rsid w:val="00053F13"/>
    <w:rsid w:val="00054974"/>
    <w:rsid w:val="00055538"/>
    <w:rsid w:val="00057A4B"/>
    <w:rsid w:val="000A378B"/>
    <w:rsid w:val="000B075F"/>
    <w:rsid w:val="000B3E9A"/>
    <w:rsid w:val="000B4D91"/>
    <w:rsid w:val="000E30FE"/>
    <w:rsid w:val="000E7240"/>
    <w:rsid w:val="000E72E7"/>
    <w:rsid w:val="000F0F67"/>
    <w:rsid w:val="000F2E4B"/>
    <w:rsid w:val="000F4E6E"/>
    <w:rsid w:val="00102A02"/>
    <w:rsid w:val="001050DD"/>
    <w:rsid w:val="0015310E"/>
    <w:rsid w:val="001645C2"/>
    <w:rsid w:val="001762A0"/>
    <w:rsid w:val="00193FA7"/>
    <w:rsid w:val="0019508F"/>
    <w:rsid w:val="001A5AC7"/>
    <w:rsid w:val="001B2B5F"/>
    <w:rsid w:val="001C420C"/>
    <w:rsid w:val="001D0BB1"/>
    <w:rsid w:val="001D1515"/>
    <w:rsid w:val="001E00CC"/>
    <w:rsid w:val="001F5AE6"/>
    <w:rsid w:val="00216B0B"/>
    <w:rsid w:val="00216C4A"/>
    <w:rsid w:val="00217744"/>
    <w:rsid w:val="00227C3E"/>
    <w:rsid w:val="002340FE"/>
    <w:rsid w:val="0023773F"/>
    <w:rsid w:val="002473C6"/>
    <w:rsid w:val="00247C13"/>
    <w:rsid w:val="00247DC9"/>
    <w:rsid w:val="00284076"/>
    <w:rsid w:val="00295AD1"/>
    <w:rsid w:val="002B511D"/>
    <w:rsid w:val="002B71C8"/>
    <w:rsid w:val="002C4A60"/>
    <w:rsid w:val="002E24EB"/>
    <w:rsid w:val="002E2BFB"/>
    <w:rsid w:val="002E320D"/>
    <w:rsid w:val="0030597C"/>
    <w:rsid w:val="00314958"/>
    <w:rsid w:val="00321DEB"/>
    <w:rsid w:val="00336DA8"/>
    <w:rsid w:val="0034229D"/>
    <w:rsid w:val="00345B96"/>
    <w:rsid w:val="00346ED9"/>
    <w:rsid w:val="00347C64"/>
    <w:rsid w:val="00361163"/>
    <w:rsid w:val="0036738F"/>
    <w:rsid w:val="00370D4D"/>
    <w:rsid w:val="00380675"/>
    <w:rsid w:val="003815B2"/>
    <w:rsid w:val="003A3D02"/>
    <w:rsid w:val="003C39DC"/>
    <w:rsid w:val="003D0B1E"/>
    <w:rsid w:val="003E4347"/>
    <w:rsid w:val="003E5F48"/>
    <w:rsid w:val="003F76F1"/>
    <w:rsid w:val="004113F2"/>
    <w:rsid w:val="00412517"/>
    <w:rsid w:val="00412BE9"/>
    <w:rsid w:val="0041748A"/>
    <w:rsid w:val="00420B4B"/>
    <w:rsid w:val="004225FD"/>
    <w:rsid w:val="00445134"/>
    <w:rsid w:val="00455FF0"/>
    <w:rsid w:val="0046734C"/>
    <w:rsid w:val="00480879"/>
    <w:rsid w:val="00485037"/>
    <w:rsid w:val="004B1F99"/>
    <w:rsid w:val="004B3BCD"/>
    <w:rsid w:val="004B65F9"/>
    <w:rsid w:val="004B685D"/>
    <w:rsid w:val="004B7BBF"/>
    <w:rsid w:val="004C1FF6"/>
    <w:rsid w:val="004C4558"/>
    <w:rsid w:val="004C7ADE"/>
    <w:rsid w:val="004D40C8"/>
    <w:rsid w:val="004E023A"/>
    <w:rsid w:val="005008E1"/>
    <w:rsid w:val="00500E9D"/>
    <w:rsid w:val="005374D8"/>
    <w:rsid w:val="00542401"/>
    <w:rsid w:val="00543650"/>
    <w:rsid w:val="005439DC"/>
    <w:rsid w:val="00545B8E"/>
    <w:rsid w:val="0056032D"/>
    <w:rsid w:val="005634B7"/>
    <w:rsid w:val="00567B1F"/>
    <w:rsid w:val="00582423"/>
    <w:rsid w:val="0058321E"/>
    <w:rsid w:val="00590783"/>
    <w:rsid w:val="005A0CF7"/>
    <w:rsid w:val="005A47CD"/>
    <w:rsid w:val="005B521C"/>
    <w:rsid w:val="005C7805"/>
    <w:rsid w:val="00603BED"/>
    <w:rsid w:val="00634F3B"/>
    <w:rsid w:val="0067657C"/>
    <w:rsid w:val="00677590"/>
    <w:rsid w:val="006852DE"/>
    <w:rsid w:val="00686DB7"/>
    <w:rsid w:val="006B0BBB"/>
    <w:rsid w:val="006B5F5E"/>
    <w:rsid w:val="006E16F5"/>
    <w:rsid w:val="006F1EB5"/>
    <w:rsid w:val="006F5454"/>
    <w:rsid w:val="006F7049"/>
    <w:rsid w:val="00704E12"/>
    <w:rsid w:val="00714856"/>
    <w:rsid w:val="00714AD0"/>
    <w:rsid w:val="00717466"/>
    <w:rsid w:val="00723050"/>
    <w:rsid w:val="00735C3C"/>
    <w:rsid w:val="0074178D"/>
    <w:rsid w:val="00744BB5"/>
    <w:rsid w:val="0074623C"/>
    <w:rsid w:val="00762B40"/>
    <w:rsid w:val="00763192"/>
    <w:rsid w:val="00763CBC"/>
    <w:rsid w:val="007732FC"/>
    <w:rsid w:val="007819D6"/>
    <w:rsid w:val="00786C76"/>
    <w:rsid w:val="00792EF2"/>
    <w:rsid w:val="00793752"/>
    <w:rsid w:val="007A42E1"/>
    <w:rsid w:val="007A70F1"/>
    <w:rsid w:val="007B079A"/>
    <w:rsid w:val="007C2DAD"/>
    <w:rsid w:val="007C3CAC"/>
    <w:rsid w:val="007C68F9"/>
    <w:rsid w:val="007E5747"/>
    <w:rsid w:val="00802F0D"/>
    <w:rsid w:val="008052E5"/>
    <w:rsid w:val="00807DB6"/>
    <w:rsid w:val="00810C45"/>
    <w:rsid w:val="008121BC"/>
    <w:rsid w:val="00821A24"/>
    <w:rsid w:val="00834321"/>
    <w:rsid w:val="00836355"/>
    <w:rsid w:val="008407E7"/>
    <w:rsid w:val="008551C9"/>
    <w:rsid w:val="00864CCB"/>
    <w:rsid w:val="008653AC"/>
    <w:rsid w:val="00871E98"/>
    <w:rsid w:val="008728A0"/>
    <w:rsid w:val="008912D0"/>
    <w:rsid w:val="00894FFF"/>
    <w:rsid w:val="008A26D1"/>
    <w:rsid w:val="008A6BB5"/>
    <w:rsid w:val="008B749F"/>
    <w:rsid w:val="008C27AB"/>
    <w:rsid w:val="008C34D3"/>
    <w:rsid w:val="008D1FB4"/>
    <w:rsid w:val="008E4130"/>
    <w:rsid w:val="008F197E"/>
    <w:rsid w:val="008F30CA"/>
    <w:rsid w:val="008F6E61"/>
    <w:rsid w:val="00905D63"/>
    <w:rsid w:val="00922B37"/>
    <w:rsid w:val="00934B41"/>
    <w:rsid w:val="00937312"/>
    <w:rsid w:val="0095700C"/>
    <w:rsid w:val="00991ABA"/>
    <w:rsid w:val="00993122"/>
    <w:rsid w:val="00993500"/>
    <w:rsid w:val="009D21E2"/>
    <w:rsid w:val="009D5542"/>
    <w:rsid w:val="009F599E"/>
    <w:rsid w:val="00A32EFC"/>
    <w:rsid w:val="00A3518E"/>
    <w:rsid w:val="00A37C63"/>
    <w:rsid w:val="00A41ECE"/>
    <w:rsid w:val="00A45E01"/>
    <w:rsid w:val="00A64E30"/>
    <w:rsid w:val="00A66AA8"/>
    <w:rsid w:val="00A7091E"/>
    <w:rsid w:val="00A76066"/>
    <w:rsid w:val="00A82AF7"/>
    <w:rsid w:val="00A91C55"/>
    <w:rsid w:val="00AA6580"/>
    <w:rsid w:val="00AA7D5B"/>
    <w:rsid w:val="00AB051A"/>
    <w:rsid w:val="00AB5950"/>
    <w:rsid w:val="00AD5114"/>
    <w:rsid w:val="00AE58C0"/>
    <w:rsid w:val="00B2477D"/>
    <w:rsid w:val="00B26D29"/>
    <w:rsid w:val="00B26DA9"/>
    <w:rsid w:val="00B40B68"/>
    <w:rsid w:val="00B4717B"/>
    <w:rsid w:val="00B538DE"/>
    <w:rsid w:val="00B56D5F"/>
    <w:rsid w:val="00B65090"/>
    <w:rsid w:val="00B6654F"/>
    <w:rsid w:val="00B80527"/>
    <w:rsid w:val="00B81383"/>
    <w:rsid w:val="00B8568E"/>
    <w:rsid w:val="00B8701B"/>
    <w:rsid w:val="00BA1849"/>
    <w:rsid w:val="00BA619B"/>
    <w:rsid w:val="00BB4B9C"/>
    <w:rsid w:val="00BC64CC"/>
    <w:rsid w:val="00BD6D8A"/>
    <w:rsid w:val="00BE61C6"/>
    <w:rsid w:val="00BE691F"/>
    <w:rsid w:val="00BF0770"/>
    <w:rsid w:val="00C00C81"/>
    <w:rsid w:val="00C01CE9"/>
    <w:rsid w:val="00C039B2"/>
    <w:rsid w:val="00C13B6C"/>
    <w:rsid w:val="00C15C23"/>
    <w:rsid w:val="00C21B3A"/>
    <w:rsid w:val="00C2419B"/>
    <w:rsid w:val="00C258FB"/>
    <w:rsid w:val="00C32E57"/>
    <w:rsid w:val="00C3307A"/>
    <w:rsid w:val="00C35AC8"/>
    <w:rsid w:val="00C440CD"/>
    <w:rsid w:val="00C479AC"/>
    <w:rsid w:val="00C52630"/>
    <w:rsid w:val="00C537E1"/>
    <w:rsid w:val="00C540D0"/>
    <w:rsid w:val="00C645C4"/>
    <w:rsid w:val="00C712D0"/>
    <w:rsid w:val="00C72DBB"/>
    <w:rsid w:val="00C94082"/>
    <w:rsid w:val="00CA537F"/>
    <w:rsid w:val="00CB12B5"/>
    <w:rsid w:val="00CB1302"/>
    <w:rsid w:val="00CB576D"/>
    <w:rsid w:val="00CC5BF2"/>
    <w:rsid w:val="00CD0F3F"/>
    <w:rsid w:val="00CE18F7"/>
    <w:rsid w:val="00D017CD"/>
    <w:rsid w:val="00D03911"/>
    <w:rsid w:val="00D10678"/>
    <w:rsid w:val="00D24537"/>
    <w:rsid w:val="00D3104A"/>
    <w:rsid w:val="00D31C94"/>
    <w:rsid w:val="00D33F3E"/>
    <w:rsid w:val="00D347DB"/>
    <w:rsid w:val="00D455AC"/>
    <w:rsid w:val="00D47F73"/>
    <w:rsid w:val="00D47FF9"/>
    <w:rsid w:val="00D5351F"/>
    <w:rsid w:val="00D646D2"/>
    <w:rsid w:val="00D6668F"/>
    <w:rsid w:val="00D67038"/>
    <w:rsid w:val="00D67481"/>
    <w:rsid w:val="00D85953"/>
    <w:rsid w:val="00DA2938"/>
    <w:rsid w:val="00DB2FBA"/>
    <w:rsid w:val="00DB7FD8"/>
    <w:rsid w:val="00DC031D"/>
    <w:rsid w:val="00DC26B7"/>
    <w:rsid w:val="00DC57AC"/>
    <w:rsid w:val="00DD592C"/>
    <w:rsid w:val="00DD7C61"/>
    <w:rsid w:val="00DE35C7"/>
    <w:rsid w:val="00E201AB"/>
    <w:rsid w:val="00E246EA"/>
    <w:rsid w:val="00E24861"/>
    <w:rsid w:val="00E4599B"/>
    <w:rsid w:val="00E70E2D"/>
    <w:rsid w:val="00E82394"/>
    <w:rsid w:val="00E85221"/>
    <w:rsid w:val="00E85AEE"/>
    <w:rsid w:val="00E95551"/>
    <w:rsid w:val="00EA0E62"/>
    <w:rsid w:val="00EA6F39"/>
    <w:rsid w:val="00EB2243"/>
    <w:rsid w:val="00EC2060"/>
    <w:rsid w:val="00EC2229"/>
    <w:rsid w:val="00EC441A"/>
    <w:rsid w:val="00ED03A8"/>
    <w:rsid w:val="00EF29D7"/>
    <w:rsid w:val="00EF30B5"/>
    <w:rsid w:val="00F02D2A"/>
    <w:rsid w:val="00F13214"/>
    <w:rsid w:val="00F21EF0"/>
    <w:rsid w:val="00F354E0"/>
    <w:rsid w:val="00F45A25"/>
    <w:rsid w:val="00F50A84"/>
    <w:rsid w:val="00F51DA6"/>
    <w:rsid w:val="00F56888"/>
    <w:rsid w:val="00F60DCF"/>
    <w:rsid w:val="00F73D55"/>
    <w:rsid w:val="00F77724"/>
    <w:rsid w:val="00FA13F1"/>
    <w:rsid w:val="00FA6E60"/>
    <w:rsid w:val="00FB3AC0"/>
    <w:rsid w:val="00FC48E4"/>
    <w:rsid w:val="00FD4A68"/>
    <w:rsid w:val="00FD54AF"/>
    <w:rsid w:val="00FF0E4B"/>
    <w:rsid w:val="01EE7C08"/>
    <w:rsid w:val="02850C9B"/>
    <w:rsid w:val="02ED6112"/>
    <w:rsid w:val="04AC5471"/>
    <w:rsid w:val="069F5975"/>
    <w:rsid w:val="06BA630B"/>
    <w:rsid w:val="07FC2953"/>
    <w:rsid w:val="08D833C0"/>
    <w:rsid w:val="090B4674"/>
    <w:rsid w:val="09E65669"/>
    <w:rsid w:val="09E761E6"/>
    <w:rsid w:val="0A12645E"/>
    <w:rsid w:val="0A375EC4"/>
    <w:rsid w:val="0A99092D"/>
    <w:rsid w:val="0D166265"/>
    <w:rsid w:val="0DED346A"/>
    <w:rsid w:val="0E0D40F9"/>
    <w:rsid w:val="0ED30382"/>
    <w:rsid w:val="0FDA504A"/>
    <w:rsid w:val="0FFFB9AB"/>
    <w:rsid w:val="10354C54"/>
    <w:rsid w:val="10716757"/>
    <w:rsid w:val="114C494B"/>
    <w:rsid w:val="1393060F"/>
    <w:rsid w:val="1653052A"/>
    <w:rsid w:val="173C4B1A"/>
    <w:rsid w:val="17FE83F3"/>
    <w:rsid w:val="1B430B6D"/>
    <w:rsid w:val="1BBF176C"/>
    <w:rsid w:val="1BD93245"/>
    <w:rsid w:val="1BDD6390"/>
    <w:rsid w:val="1C362480"/>
    <w:rsid w:val="1DB55639"/>
    <w:rsid w:val="1F066139"/>
    <w:rsid w:val="1F751511"/>
    <w:rsid w:val="1F7D7F11"/>
    <w:rsid w:val="1FDD74A6"/>
    <w:rsid w:val="1FEF8621"/>
    <w:rsid w:val="1FFAB1E4"/>
    <w:rsid w:val="1FFD4318"/>
    <w:rsid w:val="1FFEB380"/>
    <w:rsid w:val="1FFF5E84"/>
    <w:rsid w:val="20510493"/>
    <w:rsid w:val="21154D5A"/>
    <w:rsid w:val="24572B1C"/>
    <w:rsid w:val="264834DB"/>
    <w:rsid w:val="26717610"/>
    <w:rsid w:val="2775A6DD"/>
    <w:rsid w:val="27DB3EDB"/>
    <w:rsid w:val="27DF58C9"/>
    <w:rsid w:val="284B2E0F"/>
    <w:rsid w:val="2959155B"/>
    <w:rsid w:val="29CC6CA4"/>
    <w:rsid w:val="2B2F9E35"/>
    <w:rsid w:val="2C17313F"/>
    <w:rsid w:val="2C615151"/>
    <w:rsid w:val="2C6941AB"/>
    <w:rsid w:val="2C831189"/>
    <w:rsid w:val="2D6DB866"/>
    <w:rsid w:val="2DFBF9FD"/>
    <w:rsid w:val="2E434249"/>
    <w:rsid w:val="2ECE02F6"/>
    <w:rsid w:val="2F42642C"/>
    <w:rsid w:val="2F5CA59F"/>
    <w:rsid w:val="2F5CA712"/>
    <w:rsid w:val="2FF71281"/>
    <w:rsid w:val="307E5F4A"/>
    <w:rsid w:val="33F8098D"/>
    <w:rsid w:val="344F012B"/>
    <w:rsid w:val="35195E45"/>
    <w:rsid w:val="356380B5"/>
    <w:rsid w:val="35A47806"/>
    <w:rsid w:val="35F5085E"/>
    <w:rsid w:val="3769F12C"/>
    <w:rsid w:val="379F041A"/>
    <w:rsid w:val="37FD3B93"/>
    <w:rsid w:val="382678F4"/>
    <w:rsid w:val="3A510D76"/>
    <w:rsid w:val="3B0DD9CF"/>
    <w:rsid w:val="3B7E3CD5"/>
    <w:rsid w:val="3C17152E"/>
    <w:rsid w:val="3CF635A6"/>
    <w:rsid w:val="3D1609D9"/>
    <w:rsid w:val="3D840E45"/>
    <w:rsid w:val="3DC3518B"/>
    <w:rsid w:val="3DD7E124"/>
    <w:rsid w:val="3DFC3909"/>
    <w:rsid w:val="3DFDE62E"/>
    <w:rsid w:val="3ECFC8AF"/>
    <w:rsid w:val="3EF7FCDC"/>
    <w:rsid w:val="3EFD55CD"/>
    <w:rsid w:val="3F1725F0"/>
    <w:rsid w:val="3F3EA757"/>
    <w:rsid w:val="3F57FC8E"/>
    <w:rsid w:val="3F631903"/>
    <w:rsid w:val="3FDBA1B6"/>
    <w:rsid w:val="3FEE9B11"/>
    <w:rsid w:val="3FFD2A67"/>
    <w:rsid w:val="3FFFF830"/>
    <w:rsid w:val="408B4299"/>
    <w:rsid w:val="40B82BB4"/>
    <w:rsid w:val="43F77C5E"/>
    <w:rsid w:val="449000D0"/>
    <w:rsid w:val="45DA7313"/>
    <w:rsid w:val="46712183"/>
    <w:rsid w:val="467D57D9"/>
    <w:rsid w:val="467FA954"/>
    <w:rsid w:val="47FE69D6"/>
    <w:rsid w:val="48B37CE7"/>
    <w:rsid w:val="48F03833"/>
    <w:rsid w:val="49AD5280"/>
    <w:rsid w:val="4A4473E5"/>
    <w:rsid w:val="4BFA2831"/>
    <w:rsid w:val="4C5541F4"/>
    <w:rsid w:val="4CFD02CC"/>
    <w:rsid w:val="4DE33966"/>
    <w:rsid w:val="4EFF32E7"/>
    <w:rsid w:val="4FB437DA"/>
    <w:rsid w:val="4FE94B38"/>
    <w:rsid w:val="4FF765D8"/>
    <w:rsid w:val="51FF5483"/>
    <w:rsid w:val="53081779"/>
    <w:rsid w:val="54DE688F"/>
    <w:rsid w:val="56F2E153"/>
    <w:rsid w:val="573772A0"/>
    <w:rsid w:val="57B18724"/>
    <w:rsid w:val="57B36924"/>
    <w:rsid w:val="57BF0FA3"/>
    <w:rsid w:val="57F0EC10"/>
    <w:rsid w:val="57F10670"/>
    <w:rsid w:val="57FBE864"/>
    <w:rsid w:val="58E14F46"/>
    <w:rsid w:val="5A5AF7BC"/>
    <w:rsid w:val="5AB26B9A"/>
    <w:rsid w:val="5CE25D24"/>
    <w:rsid w:val="5CFFA9DA"/>
    <w:rsid w:val="5DEFF690"/>
    <w:rsid w:val="5EBF746D"/>
    <w:rsid w:val="5EEEEEF2"/>
    <w:rsid w:val="5EFB493F"/>
    <w:rsid w:val="5F2C5541"/>
    <w:rsid w:val="5F43D063"/>
    <w:rsid w:val="5F4DBB20"/>
    <w:rsid w:val="5F665F1E"/>
    <w:rsid w:val="5F6E5FBF"/>
    <w:rsid w:val="5F7E2841"/>
    <w:rsid w:val="5F9208EB"/>
    <w:rsid w:val="5FB750F1"/>
    <w:rsid w:val="5FE7350F"/>
    <w:rsid w:val="5FFF21EC"/>
    <w:rsid w:val="5FFF8498"/>
    <w:rsid w:val="604ED2B6"/>
    <w:rsid w:val="61F34A91"/>
    <w:rsid w:val="62C51434"/>
    <w:rsid w:val="63FE5F7A"/>
    <w:rsid w:val="658F0556"/>
    <w:rsid w:val="659F5F6D"/>
    <w:rsid w:val="65C52709"/>
    <w:rsid w:val="65DF43E9"/>
    <w:rsid w:val="65FF2D9D"/>
    <w:rsid w:val="66BE8B81"/>
    <w:rsid w:val="67507BB4"/>
    <w:rsid w:val="67BED57F"/>
    <w:rsid w:val="67F26BD6"/>
    <w:rsid w:val="67FE3055"/>
    <w:rsid w:val="67FE6E72"/>
    <w:rsid w:val="68586A58"/>
    <w:rsid w:val="68B7537B"/>
    <w:rsid w:val="68CF4A19"/>
    <w:rsid w:val="6AFB3C45"/>
    <w:rsid w:val="6BEB2069"/>
    <w:rsid w:val="6BFF1809"/>
    <w:rsid w:val="6BFFDD39"/>
    <w:rsid w:val="6CB32387"/>
    <w:rsid w:val="6CC10EBE"/>
    <w:rsid w:val="6D3B20DD"/>
    <w:rsid w:val="6D75242B"/>
    <w:rsid w:val="6DC2216F"/>
    <w:rsid w:val="6DFECC3B"/>
    <w:rsid w:val="6E261C53"/>
    <w:rsid w:val="6E483229"/>
    <w:rsid w:val="6ECF9311"/>
    <w:rsid w:val="6EF66A80"/>
    <w:rsid w:val="6EFFF2B6"/>
    <w:rsid w:val="6F57BD81"/>
    <w:rsid w:val="6F7F537D"/>
    <w:rsid w:val="6FAF707B"/>
    <w:rsid w:val="6FCF6989"/>
    <w:rsid w:val="6FE52A10"/>
    <w:rsid w:val="6FEF3E46"/>
    <w:rsid w:val="6FFDC24A"/>
    <w:rsid w:val="6FFFAAB8"/>
    <w:rsid w:val="70385218"/>
    <w:rsid w:val="716A33A2"/>
    <w:rsid w:val="72D354A8"/>
    <w:rsid w:val="72F4EAA6"/>
    <w:rsid w:val="72FF629D"/>
    <w:rsid w:val="733F83F9"/>
    <w:rsid w:val="735FA9A6"/>
    <w:rsid w:val="73DD1435"/>
    <w:rsid w:val="73FFCB0B"/>
    <w:rsid w:val="73FFE0A1"/>
    <w:rsid w:val="74DF15A7"/>
    <w:rsid w:val="751AD08D"/>
    <w:rsid w:val="75DB8859"/>
    <w:rsid w:val="764F3C94"/>
    <w:rsid w:val="76654F0B"/>
    <w:rsid w:val="767F4BBA"/>
    <w:rsid w:val="76A5715B"/>
    <w:rsid w:val="76B667E5"/>
    <w:rsid w:val="76EF4FDA"/>
    <w:rsid w:val="76F37DCA"/>
    <w:rsid w:val="76FDE0E9"/>
    <w:rsid w:val="76FF4AFD"/>
    <w:rsid w:val="777F3FA3"/>
    <w:rsid w:val="778F4864"/>
    <w:rsid w:val="779F8D3F"/>
    <w:rsid w:val="77A64F39"/>
    <w:rsid w:val="77BE7111"/>
    <w:rsid w:val="77DC4416"/>
    <w:rsid w:val="77DFD33D"/>
    <w:rsid w:val="77E7A6B3"/>
    <w:rsid w:val="77EC496C"/>
    <w:rsid w:val="77EEB4D0"/>
    <w:rsid w:val="77F75366"/>
    <w:rsid w:val="77FEC8D7"/>
    <w:rsid w:val="77FF7F7D"/>
    <w:rsid w:val="77FF9AD2"/>
    <w:rsid w:val="77FFAE88"/>
    <w:rsid w:val="78490DB4"/>
    <w:rsid w:val="797B43C2"/>
    <w:rsid w:val="799C1107"/>
    <w:rsid w:val="79CBD8E1"/>
    <w:rsid w:val="79D20267"/>
    <w:rsid w:val="79EAA3C9"/>
    <w:rsid w:val="79FF5EC3"/>
    <w:rsid w:val="7AA3557C"/>
    <w:rsid w:val="7ADF3461"/>
    <w:rsid w:val="7AFD1140"/>
    <w:rsid w:val="7B2F191B"/>
    <w:rsid w:val="7B811F45"/>
    <w:rsid w:val="7B8FFEF1"/>
    <w:rsid w:val="7BAF83D4"/>
    <w:rsid w:val="7BB31103"/>
    <w:rsid w:val="7BED196A"/>
    <w:rsid w:val="7BEFC665"/>
    <w:rsid w:val="7CEBAC0A"/>
    <w:rsid w:val="7CFE8CAF"/>
    <w:rsid w:val="7D2F38B0"/>
    <w:rsid w:val="7D6D468B"/>
    <w:rsid w:val="7D7F0E09"/>
    <w:rsid w:val="7DBF37F8"/>
    <w:rsid w:val="7DD92A41"/>
    <w:rsid w:val="7DDB46BB"/>
    <w:rsid w:val="7DE37A0A"/>
    <w:rsid w:val="7DEB228A"/>
    <w:rsid w:val="7DFAF2B7"/>
    <w:rsid w:val="7DFEEF6A"/>
    <w:rsid w:val="7DFF9FD7"/>
    <w:rsid w:val="7DFFBF24"/>
    <w:rsid w:val="7DFFEE76"/>
    <w:rsid w:val="7E3C70C6"/>
    <w:rsid w:val="7E7F3B9C"/>
    <w:rsid w:val="7EB98FB9"/>
    <w:rsid w:val="7EE7F48F"/>
    <w:rsid w:val="7EF7D365"/>
    <w:rsid w:val="7F5E831E"/>
    <w:rsid w:val="7F5F36F0"/>
    <w:rsid w:val="7F623E3B"/>
    <w:rsid w:val="7F8813C8"/>
    <w:rsid w:val="7F9F8BEB"/>
    <w:rsid w:val="7FABC489"/>
    <w:rsid w:val="7FB3E3EA"/>
    <w:rsid w:val="7FB4FBC7"/>
    <w:rsid w:val="7FBA4D01"/>
    <w:rsid w:val="7FBF7AFA"/>
    <w:rsid w:val="7FDF6CD9"/>
    <w:rsid w:val="7FE35932"/>
    <w:rsid w:val="7FE61021"/>
    <w:rsid w:val="7FED9436"/>
    <w:rsid w:val="7FEEB987"/>
    <w:rsid w:val="7FF3B606"/>
    <w:rsid w:val="7FF71002"/>
    <w:rsid w:val="7FF792EF"/>
    <w:rsid w:val="7FF91A83"/>
    <w:rsid w:val="7FFD3E53"/>
    <w:rsid w:val="7FFE3FA1"/>
    <w:rsid w:val="7FFFB27B"/>
    <w:rsid w:val="8FFFDE78"/>
    <w:rsid w:val="917EBFBE"/>
    <w:rsid w:val="97CC2209"/>
    <w:rsid w:val="97DCAA07"/>
    <w:rsid w:val="97FD958E"/>
    <w:rsid w:val="99FDBCAE"/>
    <w:rsid w:val="9B79A538"/>
    <w:rsid w:val="9D6660B1"/>
    <w:rsid w:val="9EF3D045"/>
    <w:rsid w:val="9F7F9C88"/>
    <w:rsid w:val="9FAE6F4B"/>
    <w:rsid w:val="9FBEBFDF"/>
    <w:rsid w:val="9FE3DBFD"/>
    <w:rsid w:val="A31F4E9D"/>
    <w:rsid w:val="A5F57806"/>
    <w:rsid w:val="A7FFEECE"/>
    <w:rsid w:val="AA9F053A"/>
    <w:rsid w:val="AB7BB4BE"/>
    <w:rsid w:val="ACFB4C57"/>
    <w:rsid w:val="AFBFF872"/>
    <w:rsid w:val="AFFF7ACC"/>
    <w:rsid w:val="B57FABE1"/>
    <w:rsid w:val="B5B91EDC"/>
    <w:rsid w:val="B69FAAF1"/>
    <w:rsid w:val="B6FB2254"/>
    <w:rsid w:val="B77FEFF7"/>
    <w:rsid w:val="B7FB8B34"/>
    <w:rsid w:val="B7FFDF73"/>
    <w:rsid w:val="BA7367E8"/>
    <w:rsid w:val="BB39E6BF"/>
    <w:rsid w:val="BB8B5104"/>
    <w:rsid w:val="BC7B4449"/>
    <w:rsid w:val="BCF56830"/>
    <w:rsid w:val="BCFF93EB"/>
    <w:rsid w:val="BD779517"/>
    <w:rsid w:val="BDEF9333"/>
    <w:rsid w:val="BED1FF59"/>
    <w:rsid w:val="BEDE605A"/>
    <w:rsid w:val="BEFE5D34"/>
    <w:rsid w:val="BFB5A7B6"/>
    <w:rsid w:val="BFD7DD25"/>
    <w:rsid w:val="BFE69760"/>
    <w:rsid w:val="BFF67AF6"/>
    <w:rsid w:val="BFF72877"/>
    <w:rsid w:val="BFF74B6B"/>
    <w:rsid w:val="BFF754E5"/>
    <w:rsid w:val="BFF7D65B"/>
    <w:rsid w:val="BFFB33E4"/>
    <w:rsid w:val="BFFDBF46"/>
    <w:rsid w:val="BFFFC5B0"/>
    <w:rsid w:val="C7FB6FFD"/>
    <w:rsid w:val="CC7A6BEB"/>
    <w:rsid w:val="CDEBC977"/>
    <w:rsid w:val="CE7F643F"/>
    <w:rsid w:val="CEF4D7B7"/>
    <w:rsid w:val="D3F6576C"/>
    <w:rsid w:val="D4F82F5D"/>
    <w:rsid w:val="D5FFC620"/>
    <w:rsid w:val="D6D684EC"/>
    <w:rsid w:val="D6F7CFD5"/>
    <w:rsid w:val="D7F3544C"/>
    <w:rsid w:val="D7FD9987"/>
    <w:rsid w:val="D9371A6D"/>
    <w:rsid w:val="D979DAC4"/>
    <w:rsid w:val="D9F54853"/>
    <w:rsid w:val="DBBF9DDD"/>
    <w:rsid w:val="DBEF8A3B"/>
    <w:rsid w:val="DBFF1C9F"/>
    <w:rsid w:val="DBFF4BE4"/>
    <w:rsid w:val="DCEDC934"/>
    <w:rsid w:val="DDEFD24E"/>
    <w:rsid w:val="DDFF5AEE"/>
    <w:rsid w:val="DE57CDDC"/>
    <w:rsid w:val="DE8B4ED8"/>
    <w:rsid w:val="DEF57A39"/>
    <w:rsid w:val="DEFB8C54"/>
    <w:rsid w:val="DF7790C7"/>
    <w:rsid w:val="DF9F1B15"/>
    <w:rsid w:val="DFDBDB29"/>
    <w:rsid w:val="DFF66C5B"/>
    <w:rsid w:val="DFFD1B76"/>
    <w:rsid w:val="DFFF3706"/>
    <w:rsid w:val="DFFFF1D3"/>
    <w:rsid w:val="E5794576"/>
    <w:rsid w:val="E5FF8F55"/>
    <w:rsid w:val="E5FFCA16"/>
    <w:rsid w:val="E7FF2242"/>
    <w:rsid w:val="E8DFC61C"/>
    <w:rsid w:val="EADBDB86"/>
    <w:rsid w:val="EBFF835E"/>
    <w:rsid w:val="ECD526AF"/>
    <w:rsid w:val="ECD5CB4F"/>
    <w:rsid w:val="ECDB7A2F"/>
    <w:rsid w:val="ED75BD47"/>
    <w:rsid w:val="ED7CFA8D"/>
    <w:rsid w:val="EDBF22E2"/>
    <w:rsid w:val="EEDFBA36"/>
    <w:rsid w:val="EF6E8E75"/>
    <w:rsid w:val="EFB24703"/>
    <w:rsid w:val="EFB2916B"/>
    <w:rsid w:val="EFB6C9AA"/>
    <w:rsid w:val="EFB7121B"/>
    <w:rsid w:val="EFBFC535"/>
    <w:rsid w:val="EFC71BBC"/>
    <w:rsid w:val="EFEB7E9C"/>
    <w:rsid w:val="EFF27058"/>
    <w:rsid w:val="EFF4A796"/>
    <w:rsid w:val="EFF6436C"/>
    <w:rsid w:val="EFF7311A"/>
    <w:rsid w:val="EFFB6B48"/>
    <w:rsid w:val="F27B84F2"/>
    <w:rsid w:val="F2B7A7C1"/>
    <w:rsid w:val="F3BF15A9"/>
    <w:rsid w:val="F3DF7E82"/>
    <w:rsid w:val="F42D54BC"/>
    <w:rsid w:val="F48E587C"/>
    <w:rsid w:val="F5793B8A"/>
    <w:rsid w:val="F5B54A74"/>
    <w:rsid w:val="F5D57961"/>
    <w:rsid w:val="F5EF783F"/>
    <w:rsid w:val="F5FCB406"/>
    <w:rsid w:val="F6B41B94"/>
    <w:rsid w:val="F6BF281E"/>
    <w:rsid w:val="F6FD0F49"/>
    <w:rsid w:val="F6FDD4EE"/>
    <w:rsid w:val="F75D8255"/>
    <w:rsid w:val="F779B06A"/>
    <w:rsid w:val="F77A1EF1"/>
    <w:rsid w:val="F78562F9"/>
    <w:rsid w:val="F7B732AE"/>
    <w:rsid w:val="F7FBA708"/>
    <w:rsid w:val="F89ACE73"/>
    <w:rsid w:val="F9BF4DA4"/>
    <w:rsid w:val="F9F2D701"/>
    <w:rsid w:val="F9FBCBA1"/>
    <w:rsid w:val="F9FF2A2F"/>
    <w:rsid w:val="F9FF7246"/>
    <w:rsid w:val="FAAE789B"/>
    <w:rsid w:val="FB3F7702"/>
    <w:rsid w:val="FB5F6933"/>
    <w:rsid w:val="FBAEFF79"/>
    <w:rsid w:val="FBCF14DC"/>
    <w:rsid w:val="FBFF2F01"/>
    <w:rsid w:val="FBFF6D88"/>
    <w:rsid w:val="FC2E50D6"/>
    <w:rsid w:val="FCDFF79D"/>
    <w:rsid w:val="FD6FA4D2"/>
    <w:rsid w:val="FD8E4BC3"/>
    <w:rsid w:val="FDBA1623"/>
    <w:rsid w:val="FDBF14AB"/>
    <w:rsid w:val="FE7769AE"/>
    <w:rsid w:val="FE9B5135"/>
    <w:rsid w:val="FEB39629"/>
    <w:rsid w:val="FEBD040B"/>
    <w:rsid w:val="FEBF75BB"/>
    <w:rsid w:val="FECDC5C3"/>
    <w:rsid w:val="FED97C99"/>
    <w:rsid w:val="FEE7D9AE"/>
    <w:rsid w:val="FEEF958C"/>
    <w:rsid w:val="FEF750C0"/>
    <w:rsid w:val="FEFF84D6"/>
    <w:rsid w:val="FF1C94E7"/>
    <w:rsid w:val="FF5F9F99"/>
    <w:rsid w:val="FF7D2AA7"/>
    <w:rsid w:val="FF7F7DF7"/>
    <w:rsid w:val="FFAB02E2"/>
    <w:rsid w:val="FFAE1828"/>
    <w:rsid w:val="FFB12D31"/>
    <w:rsid w:val="FFB5EF1B"/>
    <w:rsid w:val="FFB6F542"/>
    <w:rsid w:val="FFBF7F3F"/>
    <w:rsid w:val="FFCD6E55"/>
    <w:rsid w:val="FFCEA23C"/>
    <w:rsid w:val="FFD6DC2E"/>
    <w:rsid w:val="FFDB8801"/>
    <w:rsid w:val="FFEB2F4D"/>
    <w:rsid w:val="FFED94F0"/>
    <w:rsid w:val="FFF7DBD3"/>
    <w:rsid w:val="FFFF0101"/>
    <w:rsid w:val="FFFF1467"/>
    <w:rsid w:val="FFFFA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200" w:firstLineChars="200"/>
      <w:jc w:val="both"/>
    </w:pPr>
    <w:rPr>
      <w:rFonts w:ascii="Times New Roman" w:hAnsi="Times New Roman" w:eastAsia="仿宋" w:cs="Times New Roman"/>
      <w:kern w:val="2"/>
      <w:sz w:val="32"/>
      <w:szCs w:val="22"/>
      <w:lang w:val="en-US" w:eastAsia="zh-CN" w:bidi="ar-SA"/>
    </w:rPr>
  </w:style>
  <w:style w:type="paragraph" w:styleId="2">
    <w:name w:val="heading 1"/>
    <w:basedOn w:val="1"/>
    <w:next w:val="1"/>
    <w:link w:val="29"/>
    <w:qFormat/>
    <w:uiPriority w:val="9"/>
    <w:pPr>
      <w:keepNext/>
      <w:keepLines/>
      <w:spacing w:before="480" w:after="80"/>
      <w:outlineLvl w:val="0"/>
    </w:pPr>
    <w:rPr>
      <w:rFonts w:asciiTheme="majorHAnsi" w:hAnsiTheme="majorHAnsi" w:eastAsiaTheme="majorEastAsia" w:cstheme="majorBidi"/>
      <w:color w:val="2E75B6" w:themeColor="accent1" w:themeShade="BF"/>
      <w:sz w:val="48"/>
      <w:szCs w:val="48"/>
    </w:rPr>
  </w:style>
  <w:style w:type="paragraph" w:styleId="3">
    <w:name w:val="heading 2"/>
    <w:basedOn w:val="1"/>
    <w:next w:val="1"/>
    <w:link w:val="30"/>
    <w:semiHidden/>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rPr>
  </w:style>
  <w:style w:type="paragraph" w:styleId="4">
    <w:name w:val="heading 3"/>
    <w:basedOn w:val="1"/>
    <w:next w:val="1"/>
    <w:link w:val="31"/>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Cs w:val="32"/>
    </w:rPr>
  </w:style>
  <w:style w:type="paragraph" w:styleId="5">
    <w:name w:val="heading 4"/>
    <w:basedOn w:val="1"/>
    <w:next w:val="1"/>
    <w:link w:val="32"/>
    <w:semiHidden/>
    <w:unhideWhenUsed/>
    <w:qFormat/>
    <w:uiPriority w:val="9"/>
    <w:pPr>
      <w:keepNext/>
      <w:keepLines/>
      <w:spacing w:before="80" w:after="40"/>
      <w:outlineLvl w:val="3"/>
    </w:pPr>
    <w:rPr>
      <w:rFonts w:cstheme="majorBidi"/>
      <w:color w:val="2E75B6" w:themeColor="accent1" w:themeShade="BF"/>
      <w:sz w:val="28"/>
      <w:szCs w:val="28"/>
    </w:rPr>
  </w:style>
  <w:style w:type="paragraph" w:styleId="6">
    <w:name w:val="heading 5"/>
    <w:basedOn w:val="1"/>
    <w:next w:val="1"/>
    <w:link w:val="33"/>
    <w:semiHidden/>
    <w:unhideWhenUsed/>
    <w:qFormat/>
    <w:uiPriority w:val="9"/>
    <w:pPr>
      <w:keepNext/>
      <w:keepLines/>
      <w:spacing w:before="80" w:after="40"/>
      <w:outlineLvl w:val="4"/>
    </w:pPr>
    <w:rPr>
      <w:rFonts w:cstheme="majorBidi"/>
      <w:color w:val="2E75B6" w:themeColor="accent1" w:themeShade="BF"/>
      <w:sz w:val="24"/>
      <w:szCs w:val="24"/>
    </w:rPr>
  </w:style>
  <w:style w:type="paragraph" w:styleId="7">
    <w:name w:val="heading 6"/>
    <w:basedOn w:val="1"/>
    <w:next w:val="1"/>
    <w:link w:val="34"/>
    <w:semiHidden/>
    <w:unhideWhenUsed/>
    <w:qFormat/>
    <w:uiPriority w:val="9"/>
    <w:pPr>
      <w:keepNext/>
      <w:keepLines/>
      <w:spacing w:before="40"/>
      <w:outlineLvl w:val="5"/>
    </w:pPr>
    <w:rPr>
      <w:rFonts w:cstheme="majorBidi"/>
      <w:b/>
      <w:bCs/>
      <w:color w:val="2E75B6" w:themeColor="accent1" w:themeShade="BF"/>
    </w:rPr>
  </w:style>
  <w:style w:type="paragraph" w:styleId="8">
    <w:name w:val="heading 7"/>
    <w:basedOn w:val="1"/>
    <w:next w:val="1"/>
    <w:link w:val="3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Body Text"/>
    <w:basedOn w:val="1"/>
    <w:next w:val="1"/>
    <w:qFormat/>
    <w:uiPriority w:val="0"/>
    <w:pPr>
      <w:spacing w:after="140" w:line="276" w:lineRule="auto"/>
    </w:pPr>
  </w:style>
  <w:style w:type="paragraph" w:styleId="13">
    <w:name w:val="Body Text Indent"/>
    <w:basedOn w:val="1"/>
    <w:semiHidden/>
    <w:unhideWhenUsed/>
    <w:qFormat/>
    <w:uiPriority w:val="99"/>
    <w:pPr>
      <w:spacing w:after="120"/>
      <w:ind w:left="420" w:leftChars="200"/>
    </w:pPr>
  </w:style>
  <w:style w:type="paragraph" w:styleId="14">
    <w:name w:val="Body Text Indent 2"/>
    <w:basedOn w:val="1"/>
    <w:next w:val="1"/>
    <w:unhideWhenUsed/>
    <w:qFormat/>
    <w:uiPriority w:val="99"/>
    <w:pPr>
      <w:spacing w:line="600" w:lineRule="exact"/>
      <w:ind w:firstLine="624"/>
    </w:pPr>
    <w:rPr>
      <w:rFonts w:ascii="仿宋_GB2312"/>
    </w:rPr>
  </w:style>
  <w:style w:type="paragraph" w:styleId="15">
    <w:name w:val="Balloon Text"/>
    <w:basedOn w:val="1"/>
    <w:link w:val="38"/>
    <w:semiHidden/>
    <w:unhideWhenUsed/>
    <w:qFormat/>
    <w:uiPriority w:val="99"/>
    <w:pPr>
      <w:spacing w:line="240" w:lineRule="auto"/>
    </w:pPr>
    <w:rPr>
      <w:sz w:val="18"/>
      <w:szCs w:val="18"/>
    </w:rPr>
  </w:style>
  <w:style w:type="paragraph" w:styleId="16">
    <w:name w:val="footer"/>
    <w:basedOn w:val="1"/>
    <w:link w:val="39"/>
    <w:unhideWhenUsed/>
    <w:qFormat/>
    <w:uiPriority w:val="99"/>
    <w:pPr>
      <w:tabs>
        <w:tab w:val="center" w:pos="4153"/>
        <w:tab w:val="right" w:pos="8306"/>
      </w:tabs>
      <w:jc w:val="left"/>
    </w:pPr>
    <w:rPr>
      <w:sz w:val="18"/>
      <w:szCs w:val="18"/>
    </w:rPr>
  </w:style>
  <w:style w:type="paragraph" w:styleId="17">
    <w:name w:val="header"/>
    <w:basedOn w:val="1"/>
    <w:link w:val="40"/>
    <w:unhideWhenUsed/>
    <w:qFormat/>
    <w:uiPriority w:val="99"/>
    <w:pPr>
      <w:tabs>
        <w:tab w:val="center" w:pos="4153"/>
        <w:tab w:val="right" w:pos="8306"/>
      </w:tabs>
      <w:jc w:val="center"/>
    </w:pPr>
    <w:rPr>
      <w:sz w:val="18"/>
      <w:szCs w:val="18"/>
    </w:rPr>
  </w:style>
  <w:style w:type="paragraph" w:styleId="18">
    <w:name w:val="Subtitle"/>
    <w:basedOn w:val="1"/>
    <w:next w:val="1"/>
    <w:link w:val="4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20">
    <w:name w:val="Normal (Web)"/>
    <w:basedOn w:val="1"/>
    <w:qFormat/>
    <w:uiPriority w:val="99"/>
    <w:pPr>
      <w:spacing w:before="100" w:beforeAutospacing="1" w:after="100" w:afterAutospacing="1"/>
      <w:jc w:val="left"/>
    </w:pPr>
    <w:rPr>
      <w:kern w:val="0"/>
      <w:sz w:val="24"/>
    </w:rPr>
  </w:style>
  <w:style w:type="paragraph" w:styleId="21">
    <w:name w:val="Title"/>
    <w:basedOn w:val="1"/>
    <w:next w:val="1"/>
    <w:link w:val="42"/>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2">
    <w:name w:val="Body Text First Indent"/>
    <w:basedOn w:val="12"/>
    <w:next w:val="1"/>
    <w:qFormat/>
    <w:uiPriority w:val="0"/>
    <w:pPr>
      <w:spacing w:after="120"/>
      <w:ind w:firstLine="420" w:firstLineChars="100"/>
    </w:pPr>
    <w:rPr>
      <w:rFonts w:ascii="Tahoma" w:hAnsi="Tahoma" w:eastAsia="微软雅黑"/>
      <w:sz w:val="22"/>
    </w:rPr>
  </w:style>
  <w:style w:type="paragraph" w:styleId="23">
    <w:name w:val="Body Text First Indent 2"/>
    <w:basedOn w:val="13"/>
    <w:unhideWhenUsed/>
    <w:qFormat/>
    <w:uiPriority w:val="99"/>
    <w:pPr>
      <w:ind w:firstLine="420"/>
    </w:pPr>
    <w:rPr>
      <w:rFonts w:ascii="Calibri" w:hAnsi="Calibri" w:eastAsia="宋体" w:cs="Times New Roman"/>
      <w:kern w:val="0"/>
      <w:sz w:val="20"/>
      <w:szCs w:val="24"/>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rPr>
  </w:style>
  <w:style w:type="character" w:styleId="28">
    <w:name w:val="Emphasis"/>
    <w:basedOn w:val="26"/>
    <w:qFormat/>
    <w:uiPriority w:val="20"/>
    <w:rPr>
      <w:i/>
    </w:rPr>
  </w:style>
  <w:style w:type="character" w:customStyle="1" w:styleId="29">
    <w:name w:val="标题 1 字符"/>
    <w:basedOn w:val="26"/>
    <w:link w:val="2"/>
    <w:qFormat/>
    <w:uiPriority w:val="9"/>
    <w:rPr>
      <w:rFonts w:asciiTheme="majorHAnsi" w:hAnsiTheme="majorHAnsi" w:eastAsiaTheme="majorEastAsia" w:cstheme="majorBidi"/>
      <w:color w:val="2E75B6" w:themeColor="accent1" w:themeShade="BF"/>
      <w:sz w:val="48"/>
      <w:szCs w:val="48"/>
    </w:rPr>
  </w:style>
  <w:style w:type="character" w:customStyle="1" w:styleId="30">
    <w:name w:val="标题 2 字符"/>
    <w:basedOn w:val="26"/>
    <w:link w:val="3"/>
    <w:semiHidden/>
    <w:qFormat/>
    <w:uiPriority w:val="9"/>
    <w:rPr>
      <w:rFonts w:asciiTheme="majorHAnsi" w:hAnsiTheme="majorHAnsi" w:eastAsiaTheme="majorEastAsia" w:cstheme="majorBidi"/>
      <w:color w:val="2E75B6" w:themeColor="accent1" w:themeShade="BF"/>
      <w:sz w:val="40"/>
      <w:szCs w:val="40"/>
    </w:rPr>
  </w:style>
  <w:style w:type="character" w:customStyle="1" w:styleId="31">
    <w:name w:val="标题 3 字符"/>
    <w:basedOn w:val="26"/>
    <w:link w:val="4"/>
    <w:semiHidden/>
    <w:qFormat/>
    <w:uiPriority w:val="9"/>
    <w:rPr>
      <w:rFonts w:asciiTheme="majorHAnsi" w:hAnsiTheme="majorHAnsi" w:eastAsiaTheme="majorEastAsia" w:cstheme="majorBidi"/>
      <w:color w:val="2E75B6" w:themeColor="accent1" w:themeShade="BF"/>
      <w:sz w:val="32"/>
      <w:szCs w:val="32"/>
    </w:rPr>
  </w:style>
  <w:style w:type="character" w:customStyle="1" w:styleId="32">
    <w:name w:val="标题 4 字符"/>
    <w:basedOn w:val="26"/>
    <w:link w:val="5"/>
    <w:semiHidden/>
    <w:qFormat/>
    <w:uiPriority w:val="9"/>
    <w:rPr>
      <w:rFonts w:cstheme="majorBidi"/>
      <w:color w:val="2E75B6" w:themeColor="accent1" w:themeShade="BF"/>
      <w:sz w:val="28"/>
      <w:szCs w:val="28"/>
    </w:rPr>
  </w:style>
  <w:style w:type="character" w:customStyle="1" w:styleId="33">
    <w:name w:val="标题 5 字符"/>
    <w:basedOn w:val="26"/>
    <w:link w:val="6"/>
    <w:semiHidden/>
    <w:qFormat/>
    <w:uiPriority w:val="9"/>
    <w:rPr>
      <w:rFonts w:cstheme="majorBidi"/>
      <w:color w:val="2E75B6" w:themeColor="accent1" w:themeShade="BF"/>
      <w:sz w:val="24"/>
      <w:szCs w:val="24"/>
    </w:rPr>
  </w:style>
  <w:style w:type="character" w:customStyle="1" w:styleId="34">
    <w:name w:val="标题 6 字符"/>
    <w:basedOn w:val="26"/>
    <w:link w:val="7"/>
    <w:semiHidden/>
    <w:qFormat/>
    <w:uiPriority w:val="9"/>
    <w:rPr>
      <w:rFonts w:cstheme="majorBidi"/>
      <w:b/>
      <w:bCs/>
      <w:color w:val="2E75B6" w:themeColor="accent1" w:themeShade="BF"/>
    </w:rPr>
  </w:style>
  <w:style w:type="character" w:customStyle="1" w:styleId="35">
    <w:name w:val="标题 7 字符"/>
    <w:basedOn w:val="2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6">
    <w:name w:val="标题 8 字符"/>
    <w:basedOn w:val="2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7">
    <w:name w:val="标题 9 字符"/>
    <w:basedOn w:val="2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8">
    <w:name w:val="批注框文本 字符"/>
    <w:basedOn w:val="26"/>
    <w:link w:val="15"/>
    <w:semiHidden/>
    <w:qFormat/>
    <w:uiPriority w:val="99"/>
    <w:rPr>
      <w:rFonts w:eastAsia="仿宋"/>
      <w:kern w:val="2"/>
      <w:sz w:val="18"/>
      <w:szCs w:val="18"/>
    </w:rPr>
  </w:style>
  <w:style w:type="character" w:customStyle="1" w:styleId="39">
    <w:name w:val="页脚 字符"/>
    <w:basedOn w:val="26"/>
    <w:link w:val="16"/>
    <w:qFormat/>
    <w:uiPriority w:val="99"/>
    <w:rPr>
      <w:sz w:val="18"/>
      <w:szCs w:val="18"/>
    </w:rPr>
  </w:style>
  <w:style w:type="character" w:customStyle="1" w:styleId="40">
    <w:name w:val="页眉 字符"/>
    <w:basedOn w:val="26"/>
    <w:link w:val="17"/>
    <w:qFormat/>
    <w:uiPriority w:val="99"/>
    <w:rPr>
      <w:sz w:val="18"/>
      <w:szCs w:val="18"/>
    </w:rPr>
  </w:style>
  <w:style w:type="character" w:customStyle="1" w:styleId="41">
    <w:name w:val="副标题 字符"/>
    <w:basedOn w:val="26"/>
    <w:link w:val="18"/>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character" w:customStyle="1" w:styleId="42">
    <w:name w:val="标题 字符"/>
    <w:basedOn w:val="26"/>
    <w:link w:val="21"/>
    <w:qFormat/>
    <w:uiPriority w:val="10"/>
    <w:rPr>
      <w:rFonts w:asciiTheme="majorHAnsi" w:hAnsiTheme="majorHAnsi" w:eastAsiaTheme="majorEastAsia" w:cstheme="majorBidi"/>
      <w:spacing w:val="-10"/>
      <w:kern w:val="28"/>
      <w:sz w:val="56"/>
      <w:szCs w:val="56"/>
    </w:rPr>
  </w:style>
  <w:style w:type="paragraph" w:styleId="43">
    <w:name w:val="Quote"/>
    <w:basedOn w:val="1"/>
    <w:next w:val="1"/>
    <w:link w:val="4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4">
    <w:name w:val="引用 字符"/>
    <w:basedOn w:val="26"/>
    <w:link w:val="43"/>
    <w:qFormat/>
    <w:uiPriority w:val="29"/>
    <w:rPr>
      <w:i/>
      <w:iCs/>
      <w:color w:val="404040" w:themeColor="text1" w:themeTint="BF"/>
      <w14:textFill>
        <w14:solidFill>
          <w14:schemeClr w14:val="tx1">
            <w14:lumMod w14:val="75000"/>
            <w14:lumOff w14:val="25000"/>
          </w14:schemeClr>
        </w14:solidFill>
      </w14:textFill>
    </w:rPr>
  </w:style>
  <w:style w:type="paragraph" w:styleId="45">
    <w:name w:val="List Paragraph"/>
    <w:basedOn w:val="1"/>
    <w:link w:val="46"/>
    <w:qFormat/>
    <w:uiPriority w:val="34"/>
    <w:pPr>
      <w:ind w:left="720"/>
      <w:contextualSpacing/>
    </w:pPr>
  </w:style>
  <w:style w:type="character" w:customStyle="1" w:styleId="46">
    <w:name w:val="列出段落 字符"/>
    <w:basedOn w:val="26"/>
    <w:link w:val="45"/>
    <w:qFormat/>
    <w:locked/>
    <w:uiPriority w:val="34"/>
    <w:rPr>
      <w:rFonts w:ascii="Times New Roman" w:hAnsi="Times New Roman" w:eastAsia="仿宋" w:cs="Times New Roman"/>
      <w:sz w:val="32"/>
    </w:rPr>
  </w:style>
  <w:style w:type="character" w:customStyle="1" w:styleId="47">
    <w:name w:val="明显强调1"/>
    <w:basedOn w:val="26"/>
    <w:qFormat/>
    <w:uiPriority w:val="21"/>
    <w:rPr>
      <w:i/>
      <w:iCs/>
      <w:color w:val="2E75B6" w:themeColor="accent1" w:themeShade="BF"/>
    </w:rPr>
  </w:style>
  <w:style w:type="paragraph" w:styleId="48">
    <w:name w:val="Intense Quote"/>
    <w:basedOn w:val="1"/>
    <w:next w:val="1"/>
    <w:link w:val="49"/>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rPr>
  </w:style>
  <w:style w:type="character" w:customStyle="1" w:styleId="49">
    <w:name w:val="明显引用 字符"/>
    <w:basedOn w:val="26"/>
    <w:link w:val="48"/>
    <w:qFormat/>
    <w:uiPriority w:val="30"/>
    <w:rPr>
      <w:i/>
      <w:iCs/>
      <w:color w:val="2E75B6" w:themeColor="accent1" w:themeShade="BF"/>
    </w:rPr>
  </w:style>
  <w:style w:type="character" w:customStyle="1" w:styleId="50">
    <w:name w:val="明显参考1"/>
    <w:basedOn w:val="26"/>
    <w:qFormat/>
    <w:uiPriority w:val="32"/>
    <w:rPr>
      <w:b/>
      <w:bCs/>
      <w:smallCaps/>
      <w:color w:val="2E75B6" w:themeColor="accent1" w:themeShade="BF"/>
      <w:spacing w:val="5"/>
    </w:rPr>
  </w:style>
  <w:style w:type="paragraph" w:customStyle="1" w:styleId="51">
    <w:name w:val="一级标题"/>
    <w:basedOn w:val="1"/>
    <w:next w:val="1"/>
    <w:link w:val="52"/>
    <w:qFormat/>
    <w:uiPriority w:val="0"/>
    <w:pPr>
      <w:tabs>
        <w:tab w:val="left" w:pos="3120"/>
      </w:tabs>
      <w:outlineLvl w:val="0"/>
    </w:pPr>
    <w:rPr>
      <w:rFonts w:ascii="黑体" w:hAnsi="黑体" w:eastAsia="黑体" w:cs="黑体"/>
      <w:szCs w:val="32"/>
    </w:rPr>
  </w:style>
  <w:style w:type="character" w:customStyle="1" w:styleId="52">
    <w:name w:val="一级标题 字符"/>
    <w:basedOn w:val="26"/>
    <w:link w:val="51"/>
    <w:qFormat/>
    <w:uiPriority w:val="0"/>
    <w:rPr>
      <w:rFonts w:ascii="黑体" w:hAnsi="黑体" w:eastAsia="黑体" w:cs="黑体"/>
      <w:sz w:val="32"/>
      <w:szCs w:val="32"/>
    </w:rPr>
  </w:style>
  <w:style w:type="paragraph" w:customStyle="1" w:styleId="53">
    <w:name w:val="二级标题"/>
    <w:basedOn w:val="1"/>
    <w:next w:val="1"/>
    <w:link w:val="54"/>
    <w:qFormat/>
    <w:uiPriority w:val="0"/>
    <w:pPr>
      <w:outlineLvl w:val="1"/>
    </w:pPr>
    <w:rPr>
      <w:rFonts w:ascii="楷体" w:hAnsi="楷体" w:eastAsia="楷体" w:cs="仿宋_GB2312"/>
      <w:b/>
      <w:color w:val="000000"/>
      <w:kern w:val="0"/>
      <w:szCs w:val="32"/>
    </w:rPr>
  </w:style>
  <w:style w:type="character" w:customStyle="1" w:styleId="54">
    <w:name w:val="二级标题 字符"/>
    <w:basedOn w:val="26"/>
    <w:link w:val="53"/>
    <w:qFormat/>
    <w:uiPriority w:val="0"/>
    <w:rPr>
      <w:rFonts w:ascii="楷体" w:hAnsi="楷体" w:eastAsia="楷体" w:cs="仿宋_GB2312"/>
      <w:b/>
      <w:color w:val="000000"/>
      <w:kern w:val="0"/>
      <w:sz w:val="32"/>
      <w:szCs w:val="32"/>
    </w:rPr>
  </w:style>
  <w:style w:type="paragraph" w:customStyle="1" w:styleId="55">
    <w:name w:val="三级小标题"/>
    <w:basedOn w:val="1"/>
    <w:link w:val="56"/>
    <w:qFormat/>
    <w:uiPriority w:val="0"/>
    <w:pPr>
      <w:outlineLvl w:val="2"/>
    </w:pPr>
    <w:rPr>
      <w:b/>
      <w:bCs/>
    </w:rPr>
  </w:style>
  <w:style w:type="character" w:customStyle="1" w:styleId="56">
    <w:name w:val="三级小标题 字符"/>
    <w:basedOn w:val="26"/>
    <w:link w:val="55"/>
    <w:qFormat/>
    <w:uiPriority w:val="0"/>
    <w:rPr>
      <w:rFonts w:ascii="Times New Roman" w:hAnsi="Times New Roman" w:eastAsia="仿宋" w:cs="Times New Roman"/>
      <w:b/>
      <w:bCs/>
      <w:sz w:val="32"/>
    </w:rPr>
  </w:style>
  <w:style w:type="paragraph" w:customStyle="1" w:styleId="57">
    <w:name w:val="四级小标"/>
    <w:qFormat/>
    <w:uiPriority w:val="0"/>
    <w:pPr>
      <w:widowControl w:val="0"/>
      <w:adjustRightInd w:val="0"/>
      <w:snapToGrid w:val="0"/>
      <w:spacing w:line="560" w:lineRule="exact"/>
      <w:ind w:firstLine="200" w:firstLineChars="200"/>
      <w:jc w:val="both"/>
      <w:outlineLvl w:val="3"/>
    </w:pPr>
    <w:rPr>
      <w:rFonts w:ascii="Times New Roman" w:hAnsi="Times New Roman" w:eastAsia="仿宋" w:cs="Times New Roman"/>
      <w:b/>
      <w:bCs/>
      <w:color w:val="000000" w:themeColor="text1"/>
      <w:kern w:val="2"/>
      <w:sz w:val="32"/>
      <w:szCs w:val="22"/>
      <w:lang w:val="en-US" w:eastAsia="zh-CN" w:bidi="ar-SA"/>
      <w14:textFill>
        <w14:solidFill>
          <w14:schemeClr w14:val="tx1"/>
        </w14:solidFill>
      </w14:textFill>
    </w:rPr>
  </w:style>
  <w:style w:type="paragraph" w:customStyle="1" w:styleId="58">
    <w:name w:val="WPSOffice手动目录 3"/>
    <w:qFormat/>
    <w:uiPriority w:val="0"/>
    <w:pPr>
      <w:spacing w:line="560" w:lineRule="exact"/>
      <w:ind w:left="400" w:leftChars="400" w:firstLine="200" w:firstLineChars="200"/>
      <w:jc w:val="both"/>
    </w:pPr>
    <w:rPr>
      <w:rFonts w:ascii="Calibri" w:hAnsi="Calibri" w:eastAsia="宋体" w:cs="Times New Roman"/>
      <w:lang w:val="en-US" w:eastAsia="zh-CN" w:bidi="ar-SA"/>
    </w:rPr>
  </w:style>
  <w:style w:type="paragraph" w:customStyle="1" w:styleId="59">
    <w:name w:val="修订1"/>
    <w:hidden/>
    <w:semiHidden/>
    <w:qFormat/>
    <w:uiPriority w:val="99"/>
    <w:rPr>
      <w:rFonts w:ascii="Times New Roman" w:hAnsi="Times New Roman" w:eastAsia="仿宋"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13</Pages>
  <Words>5818</Words>
  <Characters>5948</Characters>
  <Lines>261</Lines>
  <Paragraphs>73</Paragraphs>
  <TotalTime>8</TotalTime>
  <ScaleCrop>false</ScaleCrop>
  <LinksUpToDate>false</LinksUpToDate>
  <CharactersWithSpaces>5953</CharactersWithSpaces>
  <Application>WPS Office_11.8.2.11880_F1E327BC-269C-435d-A152-05C5408002CA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2025-01-20T16:17:00Z</dcterms:created>
  <dc:creator>User</dc:creator>
  <cp:lastModifiedBy>fanxingchen</cp:lastModifiedBy>
  <cp:lastPrinted>2025-06-20T19:36:00Z</cp:lastPrinted>
  <dcterms:modified xsi:type="dcterms:W3CDTF">2025-08-11T09:37:54Z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2052-11.8.2.11880</vt:lpwstr>
  </property>
  <property fmtid="{D5CDD505-2E9C-101B-9397-08002B2CF9AE}" pid="3" name="ICV">
    <vt:lpwstr>01046B88636645C6B8AEC8A092733500_13</vt:lpwstr>
  </property>
  <property fmtid="{D5CDD505-2E9C-101B-9397-08002B2CF9AE}" pid="4" name="KSOTemplateDocerSaveRecord">
    <vt:lpwstr>eyJoZGlkIjoiMzM0MzMzNDIyYzEwM2EzMDE4OTZhYWI0Mzg0MDY2ZjQiLCJ1c2VySWQiOiIxMzU0NzE5ODE3In0=</vt:lpwstr>
  </property>
</Properties>
</file>